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Meyer, Metcalf, Minjarez, et al.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1804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prohibiting the use of state appropriations or public money of a political subdivision to settle or pay a sexual harassment claim made against certain public officers and employees.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Subtitle B, Title 5, Government Code, is amended by adding Chapter 576 to read as follows:</w:t>
      </w:r>
    </w:p>
    <w:p w:rsidR="003F3435" w:rsidRDefault="0032493E">
      <w:pPr>
        <w:spacing w:line="480" w:lineRule="auto"/>
        <w:jc w:val="center"/>
      </w:pPr>
      <w:r>
        <w:rPr>
          <w:u w:val="single"/>
        </w:rPr>
        <w:t xml:space="preserve">CHAPTER 576.  PROHIBITION ON APPROPRIATION OF MONEY TO SETTLE OR PAY SEXUAL HARASSMENT CLAIMS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576.0001.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PROHIBITION ON APPROPRIATION OF MONEY TO SETTLE OR PAY SEXUAL HARASSMENT CLAIMS.  The legislature may not appropriate money and a state agency may not use appropriated money to settle or otherwise pay a sexual harassment claim made against a person who: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is an elected member of the executive, legislative, or judicial branch of state government;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is appointed by the governor to serve as a member of a department, commission, board, or other public office within the executive, legislative, or judicial branch of state government;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serves as staff for a person described by Subdivision (1) or (2).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Chapter 180, Local Government Code, is amended by adding Section 180.008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180.008.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PROHIBITION ON USE OF PUBLIC MONEY TO SETTLE OR PAY SEXUAL HARASSMENT CLAIMS.  (a) </w:t>
      </w:r>
      <w:r>
        <w:rPr>
          <w:u w:val="single"/>
        </w:rPr>
        <w:t xml:space="preserve"> </w:t>
      </w:r>
      <w:r>
        <w:rPr>
          <w:u w:val="single"/>
        </w:rPr>
        <w:t xml:space="preserve">In this section, "political subdivision" means a county, municipality, school district, other special district, or other subdivision of state government.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political subdivision may not use public money to settle or otherwise pay a sexual harassment claim made against a person who is: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an elected or appointed member of the governing body of the political subdivision;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an officer or employee of the political subdivision.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Section 12.1058(a), Education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An open-enrollment charter school is considered to be: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a local government for purposes of Chapter 791, Government Code;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a local government for purposes of Chapter 2259, Government Code, except that an open-enrollment charter school may not issue public securities as provided by Section 2259.031(b), Government Code;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a political subdivision for purposes of Chapter 172, Local Government Code; [</w:t>
      </w:r>
      <w:r>
        <w:rPr>
          <w:strike/>
        </w:rPr>
        <w:t xml:space="preserve">and</w:t>
      </w:r>
      <w:r>
        <w:t xml:space="preserve">]</w:t>
      </w:r>
    </w:p>
    <w:p w:rsidR="003F3435" w:rsidRDefault="0032493E">
      <w:pPr>
        <w:spacing w:line="480" w:lineRule="auto"/>
        <w:ind w:firstLine="1440"/>
        <w:jc w:val="both"/>
      </w:pPr>
      <w:r>
        <w:t xml:space="preserve">(4)</w:t>
      </w:r>
      <w:r xml:space="preserve">
        <w:t> </w:t>
      </w:r>
      <w:r xml:space="preserve">
        <w:t> </w:t>
      </w:r>
      <w:r>
        <w:t xml:space="preserve">a local governmental entity for purposes of Subchapter I, Chapter 271, Local Government Code</w:t>
      </w:r>
      <w:r>
        <w:rPr>
          <w:u w:val="single"/>
        </w:rPr>
        <w:t xml:space="preserve">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(5)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political subdivision for purposes of Section 180.008, Local Government Code</w:t>
      </w:r>
      <w:r>
        <w:t xml:space="preserve">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4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2021.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1804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