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87R3161 MWC-F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proprietary purchases process for state agencies.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2155.067(b) and (f),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agency head or the presiding officer of the agency's governing body must sign the written justification </w:t>
      </w:r>
      <w:r>
        <w:rPr>
          <w:u w:val="single"/>
        </w:rPr>
        <w:t xml:space="preserve">for the requesting state agency or designate another person to sign the written justification for the agency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rPr>
          <w:u w:val="single"/>
        </w:rPr>
        <w:t xml:space="preserve">On receipt of the written justification and any other documentation required by the comptroller and on approval of the purchase request, the</w:t>
      </w:r>
      <w:r>
        <w:t xml:space="preserve"> [</w:t>
      </w:r>
      <w:r>
        <w:rPr>
          <w:strike/>
        </w:rPr>
        <w:t xml:space="preserve">The</w:t>
      </w:r>
      <w:r>
        <w:t xml:space="preserve">] comptroller shall </w:t>
      </w:r>
      <w:r>
        <w:rPr>
          <w:u w:val="single"/>
        </w:rPr>
        <w:t xml:space="preserve">proceed with the purchase for the requesting state agency or delegate to the agency the authority to purchase the product</w:t>
      </w:r>
      <w:r>
        <w:t xml:space="preserve"> [</w:t>
      </w:r>
      <w:r>
        <w:rPr>
          <w:strike/>
        </w:rPr>
        <w:t xml:space="preserve">issue an invitation to bid to vendors not later than the 20th day after the date of receiving the required written justification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