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87R6587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Martinez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1819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powers of board members of certain emergency services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775, Health and Safety Code, is amended by adding Section 775.0361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775.0361.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FIRE CODE IN CERTAIN DISTRICTS.  (a) Two or more districts may adopt and enforce a fire code, including fines for any violations, for the area served by the districts if the districts have established a joint response area through contracts under Section 775.031(a) that includes land in two or more counties. A fire code adopted under this section must be similar to standards adopted by a nationally recognized standards-making association.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Sections 775.036(b) and (b-1), a provision in a fire code adopted under Subsection (a) prevails over a provision in a fire code adopted by a county regardless of whether the provision is less stringent than the provision adopted by the county.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of a district that adopts a fire code under this section may not enforce the fire code in the boundaries of a municipality that has adopted a fire code, except for an area that has been annexed only for limited purposes in which the municipality does not enforce a fire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1819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