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1823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instruction about bullying and harassment in the required health curriculum for public school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28.002(s), Education Code, is amended to read as follows:</w:t>
      </w:r>
    </w:p>
    <w:p w:rsidR="003F3435" w:rsidRDefault="0032493E">
      <w:pPr>
        <w:spacing w:line="480" w:lineRule="auto"/>
        <w:ind w:firstLine="720"/>
        <w:jc w:val="both"/>
      </w:pPr>
      <w:r>
        <w:t xml:space="preserve">(s)</w:t>
      </w:r>
      <w:r xml:space="preserve">
        <w:t> </w:t>
      </w:r>
      <w:r xml:space="preserve">
        <w:t> </w:t>
      </w:r>
      <w:r>
        <w:t xml:space="preserve">In this subsection, "bullying" has the meaning assigned by Section 37.0832 and "harassment" has the meaning assigned by Section 37.001. </w:t>
      </w:r>
      <w:r>
        <w:t xml:space="preserve"> </w:t>
      </w:r>
      <w:r>
        <w:t xml:space="preserve">In addition to any other essential knowledge and skills the State Board of Education adopts for the health curriculum under Subsection (a)(2)(B), the board shall adopt for the health curriculum, in consultation with the Texas School Safety Center, essential knowledge and skills that include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evidence-based practices that will effectively address awareness, prevention, identification, self-defense in response to, and resolution of and intervention in bullying and harassment</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evidence-based practices that will effectively teach students respect for another person's autonomy and confidence in protecting their own bodily autonomy.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