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deceptive trade practice of charging exorbitant or excessive prices for necessities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17.45, Business &amp; Commerce Code, is amended by adding Subdivisions (18) and (19)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"Disinfectant cleaning supplies" includes sanitizing wipes, sanitizing spray, hand sanitizer, and bleach products.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"Personal protective equipment" includes disposable gloves, face shields, face masks, and surgical masks.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w:t>
      </w:r>
      <w:r>
        <w:rPr>
          <w:u w:val="single"/>
        </w:rPr>
        <w:t xml:space="preserve">disinfectant cleaning supplies, personal protective equipment,</w:t>
      </w:r>
      <w:r>
        <w:t xml:space="preserv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w:t>
      </w:r>
      <w:r>
        <w:rPr>
          <w:u w:val="single"/>
        </w:rPr>
        <w:t xml:space="preserve">disinfectant cleaning supplies, personal protective equipment,</w:t>
      </w:r>
      <w:r>
        <w:t xml:space="preserv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 or practice that occurs on or after the effective date of this Act.  An act or practice that occurs before the effective date of this Act is governed by the law in effect on the date the act or practice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