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1829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properly recorded diacritical marks in vital statistics records, driver's licenses, commercial driver's licenses, and personal identification certificates.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191.009, Health and Safety Code, is amended as follows:</w:t>
      </w:r>
    </w:p>
    <w:p w:rsidR="003F3435" w:rsidRDefault="0032493E">
      <w:pPr>
        <w:spacing w:line="480" w:lineRule="auto"/>
        <w:ind w:firstLine="720"/>
        <w:jc w:val="both"/>
      </w:pPr>
      <w:r>
        <w:t xml:space="preserve">Sec.</w:t>
      </w:r>
      <w:r xml:space="preserve">
        <w:t> </w:t>
      </w:r>
      <w:r>
        <w:t xml:space="preserve">191.009.</w:t>
      </w:r>
      <w:r xml:space="preserve">
        <w:t> </w:t>
      </w:r>
      <w:r xml:space="preserve">
        <w:t> </w:t>
      </w:r>
      <w:r>
        <w:t xml:space="preserve">USE OF DIACRITICAL MARKS.  (a)  In this section, "diacritical mark" means a mark used in Latin script to change the sound of the letter to which it is added or used to distinguish the meaning of the word in which the letter appears. The term includes accents, tildes, graves, umlauts, </w:t>
      </w:r>
      <w:r>
        <w:rPr>
          <w:u w:val="single"/>
        </w:rPr>
        <w:t xml:space="preserve">apostrophes,</w:t>
      </w:r>
      <w:r>
        <w:t xml:space="preserve"> and cedillas.</w:t>
      </w:r>
    </w:p>
    <w:p w:rsidR="003F3435" w:rsidRDefault="0032493E">
      <w:pPr>
        <w:spacing w:line="480" w:lineRule="auto"/>
        <w:ind w:firstLine="720"/>
        <w:jc w:val="both"/>
      </w:pPr>
      <w:r>
        <w:t xml:space="preserve">(b)</w:t>
      </w:r>
      <w:r xml:space="preserve">
        <w:t> </w:t>
      </w:r>
      <w:r xml:space="preserve">
        <w:t> </w:t>
      </w:r>
      <w:r>
        <w:t xml:space="preserve">The state registrar shall ensure that a vital statistics record issued under this title properly records any diacritical mark used in a person's name.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