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annual continuing education requirements for certain court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51.605,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clerk may carry over from the current calendar year to the following calendar year not more than 10 hours of completed continuing education courses that exceed the number of hours of completed continuing education courses required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1831 was passed by the House on April 9, 2021,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1831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