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87R18188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Paso, Hunter,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1837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1837: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1837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motorcycle profiling by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2.1315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2.1315.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MOTORCYCLE PROFILING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article: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"Law enforcement agency" and "motor vehicle stop" have the meanings assigned by Article 2.132.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"Motorcycle profiling" means a law enforcement-initiated action based wholly or partly on an individual operating a motorcycle or wearing motorcycle-related or motorcycle club-related paraphernalia rather than on the individual's behavior or on information identifying the individual as having engaged in criminal activity.  The term includes a motor vehicle stop that is made with respect to an individual operating a motorcycle and that the peace officer extends beyond the period necessary to effectuate the purpose of the stop.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not engage in motorcycle profiling.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law enforcement agency in this state shall adopt a detailed written policy on motorcycle profiling. </w:t>
      </w:r>
      <w:r>
        <w:rPr>
          <w:u w:val="single"/>
        </w:rPr>
        <w:t xml:space="preserve"> </w:t>
      </w:r>
      <w:r>
        <w:rPr>
          <w:u w:val="single"/>
        </w:rPr>
        <w:t xml:space="preserve">The policy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clearly define acts constituting motorcycle profiling;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strictly prohibit peace officers employed by the agency from engaging in motorcycle profiling;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implement a process by which an individual may file a complaint with the agency if the individual believes that a peace officer employed by the agency has engaged in motorcycle profiling with respect to the individual;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appropriate disciplinary action to be taken against a peace officer employed by the agency who, after an investigation, is shown to have engaged in motorcycle profiling in violation of the agency's policy adopted under this article.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each law enforcement agency in this state shall adopt the policy required by Article 2.1315, Code of Criminal Procedure,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1837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