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motorcycle profiling by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2.1315.</w:t>
      </w:r>
      <w:r>
        <w:rPr>
          <w:u w:val="single"/>
        </w:rPr>
        <w:t xml:space="preserve"> </w:t>
      </w:r>
      <w:r>
        <w:rPr>
          <w:u w:val="single"/>
        </w:rPr>
        <w:t xml:space="preserve"> </w:t>
      </w:r>
      <w:r>
        <w:rPr>
          <w:u w:val="single"/>
        </w:rPr>
        <w:t xml:space="preserve">MOTORCYCLE PROFILING PROHIBITED.  (a)  In this article, "motorcycle profiling" means a law enforcement-initiated action based, in whole or in part, on an individual operating a motorcycle or wearing motorcycle-related or motorcycle club-related paraphernalia rather than on the individual's behavior or on information identifying the individual as having engaged in criminal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may not engage in motorcycle profiling.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 117.  LIABILITY ARISING FROM CONDUCT OF PEACE OFFICERS OR LAW ENFORCEMENT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MOTORCYCLE PROFILING.  (a)  An individual against whom a peace officer has engaged in motorcycle profiling in violation of Article 2.1315, Code of Criminal Procedure, may bring an action against the peace officer or the governmental unit employing the peace officer to recover damages arising from the motorcycle profiling and for an injunction against future violations of that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establishes in an action under this section that a peace officer engaged in motorcycle profiling against the individual is entitled to recover reasonable attorney's fees and litigation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unit is vicariously liable under the doctrine of respondeat superior for damages arising from motorcycle profiling engaged in by a peace officer employed by the governmental unit.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unit's sovereign or governmental immunity to suit and from liability is waived to the extent of liability created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may not assert official immunity as a defense to liability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117,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