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87R7045 CAE-F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Stephenson</w:t>
      </w:r>
      <w:r xml:space="preserve">
        <w:tab wTab="150" tlc="none" cTlc="0"/>
      </w:r>
      <w:r>
        <w:t xml:space="preserve">H.B.</w:t>
      </w:r>
      <w:r xml:space="preserve">
        <w:t> </w:t>
      </w:r>
      <w:r>
        <w:t xml:space="preserve">No.</w:t>
      </w:r>
      <w:r xml:space="preserve">
        <w:t> </w:t>
      </w:r>
      <w:r>
        <w:t xml:space="preserve">1839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age qualifications for a person elected or appointed to serve as a district judge.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24.001, Government Code, is amended to read as follows:</w:t>
      </w:r>
    </w:p>
    <w:p w:rsidR="003F3435" w:rsidRDefault="0032493E">
      <w:pPr>
        <w:spacing w:line="480" w:lineRule="auto"/>
        <w:ind w:firstLine="720"/>
        <w:jc w:val="both"/>
      </w:pPr>
      <w:r>
        <w:t xml:space="preserve">Sec.</w:t>
      </w:r>
      <w:r xml:space="preserve">
        <w:t> </w:t>
      </w:r>
      <w:r>
        <w:t xml:space="preserve">24.001.</w:t>
      </w:r>
      <w:r xml:space="preserve">
        <w:t> </w:t>
      </w:r>
      <w:r xml:space="preserve">
        <w:t> </w:t>
      </w:r>
      <w:r>
        <w:t xml:space="preserve">AGE QUALIFICATION OF JUDGES.  </w:t>
      </w:r>
      <w:r>
        <w:rPr>
          <w:u w:val="single"/>
        </w:rPr>
        <w:t xml:space="preserve">On the date of election or appointment, a</w:t>
      </w:r>
      <w:r>
        <w:t xml:space="preserve"> [</w:t>
      </w:r>
      <w:r>
        <w:rPr>
          <w:strike/>
        </w:rPr>
        <w:t xml:space="preserve">A</w:t>
      </w:r>
      <w:r>
        <w:t xml:space="preserve">] district judge must be</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at least 25 years </w:t>
      </w:r>
      <w:r>
        <w:rPr>
          <w:u w:val="single"/>
        </w:rPr>
        <w:t xml:space="preserve">of age;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not older than 74 years of age</w:t>
      </w:r>
      <w:r>
        <w:t xml:space="preserve"> [</w:t>
      </w:r>
      <w:r>
        <w:rPr>
          <w:strike/>
        </w:rPr>
        <w:t xml:space="preserve">old</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24.001, Government Code, as amended by this Act, applies only to a district judge who is elected or appointed on or after the effective date of this Act.  A district judge elected or appointed before the effective date of this Act continues to serve for the term to which the judge was elected or appointed unless otherwise removed as provided by law.</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1839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