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87R9099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1848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date of the general primary election to be held in 2022.</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 Election Code, is amended by adding Section 41.0075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41.0075.</w:t>
      </w:r>
      <w:r>
        <w:rPr>
          <w:u w:val="single"/>
        </w:rPr>
        <w:t xml:space="preserve"> </w:t>
      </w:r>
      <w:r>
        <w:rPr>
          <w:u w:val="single"/>
        </w:rPr>
        <w:t xml:space="preserve"> </w:t>
      </w:r>
      <w:r>
        <w:rPr>
          <w:u w:val="single"/>
        </w:rPr>
        <w:t xml:space="preserve">POSTPONING PRIMARY ELECTION IN SPECIAL CIRCUMSTANCE.  (a)  Notwithstanding any other provision of law, the governor, lieutenant governor, and speaker of the house may, by written agreement, postpone the date of the general primary election to be held in 2022 if a redistricting plan adopted by the legislature or the Legislative Redistricting Board under Section 28, Article III, Texas Constitution, is not in effect on or before September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agreement under Subsection (a) may not be made later than the 45th day before the filing deadline described by Section 172.023.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soon as possible after an agreement under Subsection (a) is made, the governor shall deliver the agreement to the secretary of state and to the state chair of each party that had a nominee for a statewide or district office on the general election ballot in 2020.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agreement made under Subsection (a) must include either: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the general primary election will be held;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agreement that the governor, lieutenant governor, and speaker of the house will determine the date of the general primary election at a later date.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filing period for an election postponed by agreement under Subsection (d)(2) may not begin before the 30th day after the date a determination is made under that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general primary election may not be postponed under this section to a date later than July 1, 2022.</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general primary election is postponed under this section, the secretary of state shall adjust the date for a runoff election, the deadline for filing for candidacy, and the schedule for canvassing election returns, declaring results, or performing any other official act relating to the election to allow the same interval of time in relation to the date of the election as would be provided by application of other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expires January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