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Sanford, Swanson, Krause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1849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modification of an order establishing the conservatorship or possession of or access to a child after a conservator's death.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156, Family Code, is amended by adding Section 156.106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156.106.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MODIFICATION OF ORDER BASED ON DEATH OF CONSERVATOR.  (a)  The death of a person who is a conservator of a child is a material and substantial change of circumstances sufficient to justify a temporary order and modification of an existing court order or portion of a decree that provides for the appointment of a conservator or that sets the terms and conditions of conservatorship or for the possession of or access to the child.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Before modifying an order under Section 156.101 based on a material and substantial change of circumstances described by Subsection (a), the court must consider any term or condition of the order or portion of a decree that denies possession of the child to a parent or imposes restrictions or limitations on the parent's right to possession of or access to the child. The court shall include those restrictions or limitations in a modification of the order if the court finds that the restrictions or limitations continue to be in the best interest of the child.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 in law made by this Act applies to a suit for modification that is pending in a trial court on the effective date of this Act or that is filed on or after that date.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1849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