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87R4417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Sanford, Swanson, 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modification of an order establishing the conservatorship or possession of or access to a child after a conservator's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156, Family Code, is amended by adding Section 156.106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shall include those restrictions or limitations in a modification of the order if the court finds that the restrictions or limitations continue to be in the best interest of the child.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for modification that is pending in a trial court on the effective date of this Act or that is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