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87R3014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1857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involving the carrying of handguns by license holders on the premises or property of certain recreational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46.035(b) and (i), Penal Code, are amended to read as follows:</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shoulder or belt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regardless of whether the facility is enclosed and if the facility is not a premises on which an event is occurring as described by Subdivision (2), on the premises or property of an indoor or outdoor arena, stadium, golf course, automobile racetrack, amphitheater, auditorium, theater, museum, zoo, botanical garden, civic center, or convention center, unless the license holder is a participant in an event conducted at the facility and a handgun is used in the event</w:t>
      </w:r>
      <w:r>
        <w:t xml:space="preserve">.</w:t>
      </w:r>
    </w:p>
    <w:p w:rsidR="003F3435" w:rsidRDefault="0032493E">
      <w:pPr>
        <w:spacing w:line="480" w:lineRule="auto"/>
        <w:ind w:firstLine="720"/>
        <w:jc w:val="both"/>
      </w:pPr>
      <w:r>
        <w:t xml:space="preserve">(i)</w:t>
      </w:r>
      <w:r xml:space="preserve">
        <w:t> </w:t>
      </w:r>
      <w:r xml:space="preserve">
        <w:t> </w:t>
      </w:r>
      <w:r>
        <w:t xml:space="preserve">Subsections (b)(4), (b)(5), </w:t>
      </w:r>
      <w:r>
        <w:rPr>
          <w:u w:val="single"/>
        </w:rPr>
        <w:t xml:space="preserve">(b)(7),</w:t>
      </w:r>
      <w:r>
        <w:t xml:space="preserve"> and (c) do not apply if the actor was not given effective notice under Section 30.06 or 30.07.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