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87R6529 TJB-F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Rodriguez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governing body of a taxing unit that adopts an exemption from ad valorem taxation of a percentage of the appraised value of an individual's residence homestead to set the minimum dollar amount of the exemption to which an individual is entitled in a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11.13(n),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In addition to any other exemptions provided by this section, an individual is entitled to an exemption from taxation by a taxing unit of a percentage of the appraised value of </w:t>
      </w:r>
      <w:r>
        <w:rPr>
          <w:u w:val="single"/>
        </w:rPr>
        <w:t xml:space="preserve">the individual's</w:t>
      </w:r>
      <w:r>
        <w:t xml:space="preserve"> [</w:t>
      </w:r>
      <w:r>
        <w:rPr>
          <w:strike/>
        </w:rPr>
        <w:t xml:space="preserve">his</w:t>
      </w:r>
      <w:r>
        <w:t xml:space="preserve">] residence homestead if the exemption is adopted by the governing body of the taxing unit before July 1 in the manner provided by law for official action by the body.  If the percentage set by the taxing unit produces an exemption in a tax year of less than $5,000</w:t>
      </w:r>
      <w:r>
        <w:rPr>
          <w:u w:val="single"/>
        </w:rPr>
        <w:t xml:space="preserve">, or of a greater dollar amount not to exceed $25,000 adopted by the governing body before July 1 of that tax year in the manner provided by law for official action by the body,</w:t>
      </w:r>
      <w:r>
        <w:t xml:space="preserve"> when applied to a particular residence homestead, the individual is entitled to an exemption of $5,000 </w:t>
      </w:r>
      <w:r>
        <w:rPr>
          <w:u w:val="single"/>
        </w:rPr>
        <w:t xml:space="preserve">or, if applicable, of the greater dollar amount adopted by the governing body,</w:t>
      </w:r>
      <w:r>
        <w:t xml:space="preserve"> of the appraised value.  The percentage adopted by the taxing unit may not exceed 20 percent.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2022, but only if the constitutional amendment proposed by the 87th Legislature, Regular Session, 2021, authorizing the governing body of a political subdivision that adopts an exemption from ad valorem taxation of a percentage of the market value of an individual's residence homestead to set the minimum dollar amount of the exemption to which an individual is entitled in a tax year is approved by the voters. 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