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87R695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restrict sex offenders from child safety zones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351, Local Government Code, is amended by adding Section 351.905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351.905.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LIMITATIONS ON REGISTERED SEX OFFENDERS IN UNINCORPORATED AREA OF COUNTY.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 safety zone" means premises where children commonly gather.  The term includes a school, day-care facility, playground, public or private youth center, public swimming pool, video arcade facility, or other facility that regularly holds events primarily for children. The term does not include a church, as defined by Section 544.251, Insurance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"Playground," "premises," "school," "video arcade facility," and "youth center" have the meanings assigned by Section 481.134,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"Registered sex offender" means an individual who is required to register as a sex offender under Chapter 62,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provide for the public safety, the commissioners court of a county by order may restrict a registered sex offender from going in, on, or within a specified distance of a child safety zone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affirmative defense to prosecution of an offense under the order that the registered sex offender was in, on, or within a specified distance of a child safety zone for a legitimate purpose, including transportation of a child that the registered sex offender is legally permitted to be with, transportation to and from work, and other work-related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may establish a distance requirement described by Subsection (b) at any distance of not more than 1,000 feet.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must establish procedures for a registered sex offender to apply for an exemption from the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must exempt a registered sex offender who established residency in a residence located within the specified distance of a child safety zone before the date the order is adopted.  The exemption must apply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areas necessary for the registered sex offender to have access to and to live in the residence;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period the registered sex offender maintains residency in the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