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87R3781 SLB-F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reports created by the Texas Water Development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16.403(d),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Not later than January 1 of each odd-numbered year, the</w:t>
      </w:r>
      <w:r>
        <w:t xml:space="preserve">] board shall </w:t>
      </w:r>
      <w:r>
        <w:rPr>
          <w:u w:val="single"/>
        </w:rPr>
        <w:t xml:space="preserve">make publicly available</w:t>
      </w:r>
      <w:r>
        <w:t xml:space="preserve"> [</w:t>
      </w:r>
      <w:r>
        <w:rPr>
          <w:strike/>
        </w:rPr>
        <w:t xml:space="preserve">submit to the legislature a report that includes</w:t>
      </w:r>
      <w:r>
        <w:t xml:space="preserve">] the most recent data relating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statewide water usage in the residential, industrial, agricultural, commercial, and institutional sectors;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data collection and reporting program developed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201.0227(d-1), Agriculture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