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87R4691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1869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debt for the purposes of calculating certain ad valorem tax rates of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26.012(7), Tax Code, is amended to read as follows:</w:t>
      </w:r>
    </w:p>
    <w:p w:rsidR="003F3435" w:rsidRDefault="0032493E">
      <w:pPr>
        <w:spacing w:line="480" w:lineRule="auto"/>
        <w:ind w:firstLine="1440"/>
        <w:jc w:val="both"/>
      </w:pPr>
      <w:r>
        <w:t xml:space="preserve">(7)</w:t>
      </w:r>
      <w:r xml:space="preserve">
        <w:t> </w:t>
      </w:r>
      <w:r xml:space="preserve">
        <w:t> </w:t>
      </w:r>
      <w:r>
        <w:t xml:space="preserve">"Debt" means a bond, warrant, certificate of obligation, or other evidence of indebtedness owed by a taxing unit that </w:t>
      </w:r>
      <w:r>
        <w:rPr>
          <w:u w:val="single"/>
        </w:rPr>
        <w:t xml:space="preserve">has been approved at an election and</w:t>
      </w:r>
      <w:r>
        <w:t xml:space="preserve"> is payable solely from property taxes in installments over a period of more than one year, not budgeted for payment from maintenance and operations funds, and secured by a pledge of property taxes, or a payment made under contract to secure indebtedness of a similar nature issued by another political subdivision on behalf of the taxing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bond, warrant, certificate of obligation, or other evidence of indebtedness for which the ordinance, order, or resolution authorizing issuance was adopted by the governing body of the taxing unit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