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a course on the United States Constitution and the Texas Constitution in the curriculum requirements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adding Subsection (b-22) to read as follows:</w:t>
      </w:r>
    </w:p>
    <w:p w:rsidR="003F3435" w:rsidRDefault="0032493E">
      <w:pPr>
        <w:spacing w:line="480" w:lineRule="auto"/>
        <w:ind w:firstLine="720"/>
        <w:jc w:val="both"/>
      </w:pPr>
      <w:r>
        <w:rPr>
          <w:u w:val="single"/>
        </w:rPr>
        <w:t xml:space="preserve">(b-22)</w:t>
      </w:r>
      <w:r>
        <w:rPr>
          <w:u w:val="single"/>
        </w:rPr>
        <w:t xml:space="preserve"> </w:t>
      </w:r>
      <w:r>
        <w:rPr>
          <w:u w:val="single"/>
        </w:rPr>
        <w:t xml:space="preserve"> </w:t>
      </w:r>
      <w:r>
        <w:rPr>
          <w:u w:val="single"/>
        </w:rPr>
        <w:t xml:space="preserve">The State Board of Education shall adopt rules requiring students enrolled in high school to complete a course on the United States Constitution and the Texas Constitution as part of a district's social studies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28.025(b-22), Education Code, as added by this Act, applies beginning with students who enter the ninth grade during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