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late payment fees charged by a municipally owned water utility.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13, Water Code, is amended by adding Section 13.0442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13.0442.</w:t>
      </w:r>
      <w:r>
        <w:rPr>
          <w:u w:val="single"/>
        </w:rPr>
        <w:t xml:space="preserve"> </w:t>
      </w:r>
      <w:r>
        <w:rPr>
          <w:u w:val="single"/>
        </w:rPr>
        <w:t xml:space="preserve"> </w:t>
      </w:r>
      <w:r>
        <w:rPr>
          <w:u w:val="single"/>
        </w:rPr>
        <w:t xml:space="preserve">LATE PAYMENT FEES CHARGED BY MUNICIPALITY.  (a) </w:t>
      </w:r>
      <w:r>
        <w:rPr>
          <w:u w:val="single"/>
        </w:rPr>
        <w:t xml:space="preserve"> </w:t>
      </w:r>
      <w:r>
        <w:rPr>
          <w:u w:val="single"/>
        </w:rPr>
        <w:t xml:space="preserve">Notwithstanding the provisions of a resolution or ordinance, a customer  charged a fee that violates Section 13.089 may appeal the charge by filing a petition with the utility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hear the appeal de novo, and the municipality charging the fee has the burden of proof to establish that the fee complies with Section 13.089. </w:t>
      </w:r>
      <w:r>
        <w:rPr>
          <w:u w:val="single"/>
        </w:rPr>
        <w:t xml:space="preserve"> </w:t>
      </w:r>
      <w:r>
        <w:rPr>
          <w:u w:val="single"/>
        </w:rPr>
        <w:t xml:space="preserve">The utility commission shall set the fees to be charged by the municipality in accordance with Section 13.089.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13, Water Code, is amended by adding Section 13.089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13.089.</w:t>
      </w:r>
      <w:r>
        <w:rPr>
          <w:u w:val="single"/>
        </w:rPr>
        <w:t xml:space="preserve"> </w:t>
      </w:r>
      <w:r>
        <w:rPr>
          <w:u w:val="single"/>
        </w:rPr>
        <w:t xml:space="preserve"> </w:t>
      </w:r>
      <w:r>
        <w:rPr>
          <w:u w:val="single"/>
        </w:rPr>
        <w:t xml:space="preserve">LATE PAYMENT FEES CHARGED BY MUNICIPALITY.  (a) </w:t>
      </w:r>
      <w:r>
        <w:rPr>
          <w:u w:val="single"/>
        </w:rPr>
        <w:t xml:space="preserve"> </w:t>
      </w:r>
      <w:r>
        <w:rPr>
          <w:u w:val="single"/>
        </w:rPr>
        <w:t xml:space="preserve">A municipality may not charge a late payment fee that is more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of the amount past due, not to exceed $500.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late payment penalty period may not begin before the 30th day after the date the municipality mails or transmits electronically the customer's bill.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late payment penalty period must end on the date the customer pays all past due amounts to the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fee charged on or after the effective date of this Act. A fee charged before the effective date of this Act is governed by the law in effect on the date the fee was charged,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