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87R6091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1878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permitting requirements to conduct certain repairs on vacant residential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214.909.</w:t>
      </w:r>
      <w:r>
        <w:rPr>
          <w:u w:val="single"/>
        </w:rPr>
        <w:t xml:space="preserve"> </w:t>
      </w:r>
      <w:r>
        <w:rPr>
          <w:u w:val="single"/>
        </w:rPr>
        <w:t xml:space="preserve"> </w:t>
      </w:r>
      <w:r>
        <w:rPr>
          <w:u w:val="single"/>
        </w:rPr>
        <w:t xml:space="preserve">REPAIRS TO VACANT RESIDENTIAL BUILDINGS.  (a) </w:t>
      </w:r>
      <w:r>
        <w:rPr>
          <w:u w:val="single"/>
        </w:rPr>
        <w:t xml:space="preserve"> </w:t>
      </w:r>
      <w:r>
        <w:rPr>
          <w:u w:val="single"/>
        </w:rPr>
        <w:t xml:space="preserve">A municipality may not adopt or enforce an ordinance or other regulation that requires an owner of a vacant residential building to obtain a permit to conduct repairs to the building if the repairs are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further damage to the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not exempt a municipality from the prohibition described by Subsection (a) by an executive order issued under Chapter 418,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of a vacant residential building who is required to obtain a permit in violation of Subsection (a) may bring an action against the municipality that violated that subsection for damages incurred due to the violation. The owner may recover reasonable attorney's fees and litigation costs if the owner prevails in the action. Governmental immunity of the municipality to suit and from liability is waived to the extent of liability created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233, Local Government Code, is amended by adding Section 233.902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233.902.</w:t>
      </w:r>
      <w:r>
        <w:rPr>
          <w:u w:val="single"/>
        </w:rPr>
        <w:t xml:space="preserve"> </w:t>
      </w:r>
      <w:r>
        <w:rPr>
          <w:u w:val="single"/>
        </w:rPr>
        <w:t xml:space="preserve"> </w:t>
      </w:r>
      <w:r>
        <w:rPr>
          <w:u w:val="single"/>
        </w:rPr>
        <w:t xml:space="preserve">REPAIRS TO VACANT RESIDENTIAL BUILDINGS.  (a) </w:t>
      </w:r>
      <w:r>
        <w:rPr>
          <w:u w:val="single"/>
        </w:rPr>
        <w:t xml:space="preserve"> </w:t>
      </w:r>
      <w:r>
        <w:rPr>
          <w:u w:val="single"/>
        </w:rPr>
        <w:t xml:space="preserve">A county may not adopt or enforce an order or other regulation that requires an owner of a vacant residential building to obtain a permit to conduct repairs to the building if the repairs are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further damage to the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not exempt a county from the prohibition described by Subsection (a) by an executive order issued under Chapter 418,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of a vacant residential building who is required to obtain a permit in violation of Subsection (a) may bring an action against the county that violated that subsection for damages incurred due to the violation. The owner may recover reasonable attorney's fees and litigation costs if the owner prevails in the action. Governmental immunity of the county to suit and from liability is waived to the extent of liability created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