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87R7418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1881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from ad valorem taxation of certain real property leased to and used by certain educational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11.211.</w:t>
      </w:r>
      <w:r>
        <w:rPr>
          <w:u w:val="single"/>
        </w:rPr>
        <w:t xml:space="preserve"> </w:t>
      </w:r>
      <w:r>
        <w:rPr>
          <w:u w:val="single"/>
        </w:rPr>
        <w:t xml:space="preserve"> </w:t>
      </w:r>
      <w:r>
        <w:rPr>
          <w:u w:val="single"/>
        </w:rPr>
        <w:t xml:space="preserve">REAL PROPERTY LEASED TO CERTAIN EDUCATIONAL ORGANIZATIONS.  (a) </w:t>
      </w:r>
      <w:r>
        <w:rPr>
          <w:u w:val="single"/>
        </w:rPr>
        <w:t xml:space="preserve"> </w:t>
      </w:r>
      <w:r>
        <w:rPr>
          <w:u w:val="single"/>
        </w:rPr>
        <w:t xml:space="preserve">In this section, "qualifying educational organization"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open-enrollment charter school authorized by Subchapter D, Chapter 12, Education Code, that is qualified as provided by Section 11.21(d) of this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public junior college, as defined by Section 61.003,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entitled to an exemption from taxation of the portion of the real property that the person owns and leases to a qualifying educational organization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portion of the real property that is leased to the organization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exclusively by the organization for the operation or administration of the organization or the performance of other educational functions by the organization;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reasonably necessary for a purpose described by Paragraph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of the portion of the real property that is leased to the organization certifies by affidavit to the organization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lease agreement requires the organization to pay the taxes imposed on the real property as a portion of the total consideration paid to the property owner under the agreement, the owner will reduce the total consideration required to be paid by the organization under the lease agreement by an amount equal to the amount by which the taxes on the real property are reduced as a result of the exemption by providing a monthly or annual credit against the total consideration due under the agreement;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lease agreement requires the organization to pay the taxes imposed on the real property directly to the collector for the applicable taxing unit or to the owner or the property manager separately from the payment of rent to the property owner under the agreement, the organization is no longer required to pay the taxes to the collector, owner, or property manager, as applicable, and the rent charged to the organization under the agreement is not affected unless a term of the agreement specifically provides for a change in the amount of the rent.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property owner required to provide an affidavit described by Subsection (b)(2)(A) to a qualifying educational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organization with a disclosure document stating the amount by which the taxes on the real property are reduced as a result of the exemption and the method the owner will implement to ensure that the total consideration for the lease of the real property fully reflects the total amount of that reduction;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total consideration for the lease of the real property through a monthly or annual credit against the total consideration to reflect the amount by which the taxes on the real property are reduced as a result of the exemption.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as invalidating an exemption from taxation of real property granted to a qualifying educational organization described by Subsection (a)(1) of this section on the basis of Section 12.128, Education Code, before January 1, 2022.</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25.07 does not apply to a leasehold interest in real property for which the owner receives an exemption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 but only if the constitutional amendment proposed by the 87th Legislature, Regular Session, 2021, authorizing the legislature to exempt from ad valorem taxation certain real property leased to a public junior college or an open-enrollment charter school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