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87R6290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1883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amount of school property tax revenue that is subject to recapture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49, Education Code, is amended by adding Section 49.1531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49.1531.</w:t>
      </w:r>
      <w:r>
        <w:rPr>
          <w:u w:val="single"/>
        </w:rPr>
        <w:t xml:space="preserve"> </w:t>
      </w:r>
      <w:r>
        <w:rPr>
          <w:u w:val="single"/>
        </w:rPr>
        <w:t xml:space="preserve"> </w:t>
      </w:r>
      <w:r>
        <w:rPr>
          <w:u w:val="single"/>
        </w:rPr>
        <w:t xml:space="preserve">LIMITATION ON TOTAL COST.  (a)  Notwithstanding any other provision of this chapter, a school district that executes an agreement to purchase attendance credit in an amount sufficient to reduce the district's local revenue level to a level that is equal to or less than the level established under Section 48.257:</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retain maintenance and operations tax revenue sufficient to pay the district's average maintenance and operations costs per student in average daily attendance, as determined under Subsection (b) and adjusted for inflation;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required to pay a total amount for attendance credit that would reduce the district's retained maintenance and operations tax revenue below the amount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the commissioner shall determine a school district's average maintenance and operations costs per student in average daily attendance based on the district's maintenance and operations expenditures per student in average daily attendance for the preceding three school years.  The commissioner shall adjust a district's average costs to reflect inflation in a manner determined appropriate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