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87R4999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1894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clemency review of certain felony offenders by the Board of Pardons and Paroles.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Code of Criminal Procedure, is amended by adding Article 48.015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48.015.</w:t>
      </w:r>
      <w:r>
        <w:rPr>
          <w:u w:val="single"/>
        </w:rPr>
        <w:t xml:space="preserve"> </w:t>
      </w:r>
      <w:r>
        <w:rPr>
          <w:u w:val="single"/>
        </w:rPr>
        <w:t xml:space="preserve"> </w:t>
      </w:r>
      <w:r>
        <w:rPr>
          <w:u w:val="single"/>
        </w:rPr>
        <w:t xml:space="preserve">CLEMENCY REVIEW FOR CERTAIN FELONIES.  (a)  In this article, "board" means the Board of Pardons and Paroles.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review each person described by Subsection (c) to identify appropriate persons to recommend to the governor for purposes of granting clemency.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person is entitled to review under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was convicted of or placed on deferred adjudication community supervision for a state jail felony or a felony of the third degree;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period of not less than 20 years has elapsed from the date,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sentence for the offense described by Subdivision (1) was finally discharged;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received a dismissal and discharge under Article 42A.111 for the offense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period described by Subdivision (2), the person has not been convicted of any offense other than an offense punishable by fine only.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exclude from the review required by this article persons described by Subsection (c) who were convicted of or placed on deferred adjudication for certain offenses for which the board considers clemency inappropriate, such as: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offenses;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offenses involving family violence, as defined by Section 71.004, Family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offenses involving a victim who was a child, an elderly individual, or a disabled individual at the time of the offense.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develop a plan to implement the review required by this article. </w:t>
      </w:r>
      <w:r>
        <w:rPr>
          <w:u w:val="single"/>
        </w:rPr>
        <w:t xml:space="preserve"> </w:t>
      </w:r>
      <w:r>
        <w:rPr>
          <w:u w:val="single"/>
        </w:rPr>
        <w:t xml:space="preserve">The plan must require that,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September 1, 2028, the board review the state jail felony convictions of persons entitled to review under this article as of September 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2035, the board review the third degree felony convictions of persons entitled to review under this article as of September 1, 2028;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September 1, 2042, the board review the deferred adjudication community supervision of persons entitled to review under this article as of September 1, 2035.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and Subsection (e) expire September 1, 2043.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