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87R4497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Sanford, King of Parker, 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disclosure requirements for agreements consenting to 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Local Government Code, is amended by adding Section 43.004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DISCLOSURE BEFORE ANNEXATION AGREEMENT.  (a)  At the time a municipality makes an offer to a landowner to enter into an agreement in which the landowner consents to annexation, the municipality must provide the landowner with the written disclosure described by Section 212.172(b-1).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annexation agreement for which a disclosure is not provided in accordance with Subsection (a)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212.172, Local Government Code, is  amended by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a municipality makes an offer to a landowner to enter into an agreement under this subchapter, the municipality must provide the landowner with a written disclosure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landowner is not required to enter into the agreement;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under which the municipality may annex the land with references to relevant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plain-language description of the annexation procedures applicable to the land;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procedures require the landowner's consent.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for which a disclosure is not provided in accordance with Subsection (b-1)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