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87R5036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voter information on Internet websites.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office, agency, or other authority maintains an Internet website, the forms shall be made available on that authority's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36th day before election day, a copy of the proclamation ordering an election shall be </w:t>
      </w:r>
      <w:r>
        <w:rPr>
          <w:u w:val="single"/>
        </w:rPr>
        <w:t xml:space="preserve">posted on the Internet websites of the governor and of the secretary of state and shall be</w:t>
      </w:r>
      <w:r>
        <w:t xml:space="preserve"> mailed to the county judge of each county wholly or partly in the territory covered by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registrar may keep the office open for voter registration activities at times other than regular office hours. The registrar shall post notice of the irregular days and hours the office will be open. The notice must remain posted continuously at each entrance to the registrar's office </w:t>
      </w:r>
      <w:r>
        <w:rPr>
          <w:u w:val="single"/>
        </w:rPr>
        <w:t xml:space="preserve">and on the registrar's Internet website, if the registrar maintains a website,</w:t>
      </w:r>
      <w:r>
        <w:t xml:space="preserve"> for the period beginning not later than the third day before the day the office is to be open during irregular hours and ending after the last time specified in the notice for the office to be open.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12.005, Election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BRANCH OFFICES.  The registrar may establish one or more branch offices in the county to conduct voter registration activities for the convenience of persons desiring to register. A branch office may be temporary or permanent. </w:t>
      </w:r>
      <w:r>
        <w:rPr>
          <w:u w:val="single"/>
        </w:rPr>
        <w:t xml:space="preserve">The hours of a branch office must be posted on the registrar's Internet website, if the registrar maintains a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u w:val="single"/>
        </w:rPr>
        <w:t xml:space="preserve">and shall post the order on the county's Internet website, if the county maintains a website,</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u w:val="single"/>
        </w:rPr>
        <w:t xml:space="preserve">and shall post the order on the county's Internet website, if the county maintains a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18.008(c),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the list is recorded </w:t>
      </w:r>
      <w:r>
        <w:rPr>
          <w:u w:val="single"/>
        </w:rPr>
        <w:t xml:space="preserve">electronically</w:t>
      </w:r>
      <w:r>
        <w:t xml:space="preserve"> [</w:t>
      </w:r>
      <w:r>
        <w:rPr>
          <w:strike/>
        </w:rPr>
        <w:t xml:space="preserve">on magnetic tape</w:t>
      </w:r>
      <w:r>
        <w:t xml:space="preserve">], the copy shall be furnished </w:t>
      </w:r>
      <w:r>
        <w:rPr>
          <w:u w:val="single"/>
        </w:rPr>
        <w:t xml:space="preserve">electronically</w:t>
      </w:r>
      <w:r>
        <w:t xml:space="preserve"> [</w:t>
      </w:r>
      <w:r>
        <w:rPr>
          <w:strike/>
        </w:rPr>
        <w:t xml:space="preserve">in the form of a tape or printout</w:t>
      </w:r>
      <w:r>
        <w:t xml:space="preserve">], as requested.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19.001,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promptly post each statement on the secretary of state's Internet website.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31.002,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post each form described by Subsection (a) on the secretary of state's Internet website.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county maintains an Internet website, the appointment list shall be posted on that website.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32.114, Election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county's Internet website, if the county maintains an Internet website,  </w:t>
      </w:r>
      <w:r>
        <w:rPr>
          <w:u w:val="single"/>
        </w:rPr>
        <w:t xml:space="preserve">in the same location that the county clerk  provides information on elections held in the county</w:t>
      </w:r>
      <w:r>
        <w:t xml:space="preserve"> [</w:t>
      </w:r>
      <w:r>
        <w:rPr>
          <w:strike/>
        </w:rPr>
        <w:t xml:space="preserve">and may post the notice on the bulletin board used for posting notice of meetings of the commissioners court</w:t>
      </w:r>
      <w:r>
        <w:t xml:space="preserve">] and shall include on the notice a statement that the program is open to the public;</w:t>
      </w:r>
    </w:p>
    <w:p w:rsidR="003F3435" w:rsidRDefault="0032493E">
      <w:pPr>
        <w:spacing w:line="480" w:lineRule="auto"/>
        <w:ind w:firstLine="1440"/>
        <w:jc w:val="both"/>
      </w:pPr>
      <w:r>
        <w:t xml:space="preserve">(1-a)</w:t>
      </w:r>
      <w:r xml:space="preserve">
        <w:t> </w:t>
      </w:r>
      <w:r xml:space="preserve">
        <w:t> </w:t>
      </w:r>
      <w:r>
        <w:t xml:space="preserve">post notice of the time and place of each session on the bulletin board used for posting notice of meetings of the commissioners court, if the county does not maintain an Internet website, and shall include on the notice a statement that the program is open to the public;</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county maintains an Internet website,  the county clerk may post the notice required under Subsection (c)(1)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42.035(c),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no newspaper is published in the county, the commissioners court shall post the notice </w:t>
      </w:r>
      <w:r>
        <w:rPr>
          <w:u w:val="single"/>
        </w:rPr>
        <w:t xml:space="preserve">as required by Subsection (a)(2) and</w:t>
      </w:r>
      <w:r>
        <w:t xml:space="preserve"> at the county courthouse on the bulletin board used for posting notice of meetings of the commissioners court. The notice must remain posted continuously for three consecutive weeks.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52.094(c),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authority conducting the drawing shall post in the authority's office</w:t>
      </w:r>
      <w:r>
        <w:rPr>
          <w:u w:val="single"/>
        </w:rPr>
        <w:t xml:space="preserve">, and on the authority's Internet website if the authority maintains a website,</w:t>
      </w:r>
      <w:r>
        <w:t xml:space="preserve"> a notice of the date, hour, and place of the drawing. The notice must remain posted continuously for 72 hours immediately preceding the scheduled time of the drawing.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