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87R9991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and counties that adopt budgets that defund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DEFUNDING LOCAL GOVERNMENTS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Chapter 140, Local Government Code, is amended by adding Section 140.013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140.013.</w:t>
      </w:r>
      <w:r>
        <w:rPr>
          <w:u w:val="single"/>
        </w:rPr>
        <w:t xml:space="preserve"> </w:t>
      </w:r>
      <w:r>
        <w:rPr>
          <w:u w:val="single"/>
        </w:rPr>
        <w:t xml:space="preserve"> </w:t>
      </w:r>
      <w:r>
        <w:rPr>
          <w:u w:val="single"/>
        </w:rPr>
        <w:t xml:space="preserve">DEFUNDING LOCAL GOVERNMENT.  (a)  A defunding local government is a municipality or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local government's preceding fiscal year, reduces: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appropriation to the local government's law enforcement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peace officers the local government's law enforcement agency is authorized to employ;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funding for peace officer overtime compensation for the local government's law enforcement agency;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for the recruitment and training of new peace officers to fill each vacant peace officer position in the local government's law enforcement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criminal justice division of the governor's office issues a written determination finding that the local government has taken an action described by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of whether a local government is a defunding local government according to the budget adopted for the first fiscal year beginning on or after September 1, 2021, the criminal justice division of the governor's office shall compare the funding and personnel in that budget to the funding and personnel in the budget of the preceding fiscal year or the second preceding fiscal year, whichever is greater.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 is considered to be a defunding local government until the criminal justice division of the governor's office issues a written determination finding that the local government has reversed the reductions, adjusted for inflation,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of the governor's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Subsection (b) each state fiscal year using a price index that accurately reports changes in the purchasing power of the dollar for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jc w:val="center"/>
      </w:pPr>
      <w:r>
        <w:t xml:space="preserve">ARTICLE 2.  ANNEXATION BY AND DISANNEXATION FROM DEFUNDING MUNICIPALITIES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Z, Chapter 42, Local Government Code, is amended by adding Section 42.905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42.905.</w:t>
      </w:r>
      <w:r>
        <w:rPr>
          <w:u w:val="single"/>
        </w:rPr>
        <w:t xml:space="preserve"> </w:t>
      </w:r>
      <w:r>
        <w:rPr>
          <w:u w:val="single"/>
        </w:rPr>
        <w:t xml:space="preserve"> </w:t>
      </w:r>
      <w:r>
        <w:rPr>
          <w:u w:val="single"/>
        </w:rPr>
        <w:t xml:space="preserve">EFFECT OF DISANNEXATION FROM DEFUNDING MUNICIPALITY.  (a)  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area is disannexed from a defunding municipality as a result of an election required to be held under Section 43.1465, the area is released from the defunding municipality's extraterritorial jurisdiction and is not included in any other municipality's extraterritorial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resident in the area may file with a municipality that is eligible to include the area in its extraterritorial jurisdiction under this chapter a petition for the area to become a part of the municipality's extraterritorial jurisdiction.  The petition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Chapter 277, Election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more than 50 percent of the registered voters of the area described by the petition as of the preceding uniform election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the signature requirement described by Subdivision (2) not later than the 180th day after the date the first signature for the petition is obtained;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map of and describe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on receipt of a valid petition and if the area has not already been included in the extraterritorial jurisdiction of another municipality, the municipality may by ordinance include the area in its extraterritorial jurisdiction.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municipality receiving a petition under this section is the defunding municipality that disannexed the area as described by Subsection (b), the defunding municipality may include the area in the defunding municipality's extraterritorial jurisdiction under this section only if the inclusion is approved by a majority of votes in an election on the issue held in the area.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area is not included in a municipality's extraterritorial jurisdiction on or after the second anniversary of the date that the area was disannexed as described by Subsection (b), a municipality, other than the defunding municipality that disannexed the area, that is eligible to include the area in its extraterritorial jurisdiction under this chapter may by ordinance include the area in its extraterritorial jurisdiction without the consent of the area.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(a)  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municipality may not annex an area during the period beginning on the date that the criminal justice division of the governor's office issues the written determination that the municipality is a defunding local government and ending on the 10th anniversary of the date on which the criminal justice division of the governor's office issues a written determination in accordance with Section 140.013(b) finding that the defunding municipality has reversed the reductions described by Section 140.013(a)(1).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(a)  For purposes of this section, a "defunding municipality" means a home-rule municipality that is a defunding local government under Section 140.013.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local government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140.013(b) finding that the defunding municipality has reversed the reductions described by Section 140.013(a)(1).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jc w:val="center"/>
      </w:pPr>
      <w:r>
        <w:t xml:space="preserve">ARTICLE 3.  TAX REVENUE AND DEFUNDING LOCAL GOVERNMENTS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26, Tax Code, is amended by adding Section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TAXING UNIT.  (a)  For purposes of this section, a "defunding taxing unit" means a county or municipality that is a defunding local government under Section 140.013,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taxing unit may not adopt a tax rate for the current tax year that exceeds the lesser of the defunding taxing unit's no-new-revenue tax rate or voter-approval tax rate for that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county or municipality is a defunding taxing unit, the difference between the taxing unit's actual tax rate and voter-approval tax rate is considered to be zero.</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 municipality is no longer considered to be a defunding taxing unit for purposes of this section in the first tax year for which the criminal justice division of the governor's office issues a written determination in accordance with Section 140.013(b), Local Government Code, finding that the county or municipality has reversed the reductions described by Section 140.013(a)(1), Local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MUNICIPALITY.  (a)  For purposes of this section, a "defunding municipality" means a municipality that is a defunding local government under Section 140.013,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is no longer considered to be a defunding municipality for purposes of this section when the criminal justice division of the governor's office issues a written determination in accordance with Section 140.013(b), Local Government Code, finding that the municipality has reversed the reductions described by Section 140.013(a)(1), Local Government Code.</w:t>
      </w:r>
    </w:p>
    <w:p w:rsidR="003F3435" w:rsidRDefault="0032493E">
      <w:pPr>
        <w:spacing w:line="480" w:lineRule="auto"/>
        <w:jc w:val="center"/>
      </w:pPr>
      <w:r>
        <w:t xml:space="preserve">ARTICLE 4.  MUNICIPALLY OWNED UTILITIES IN DEFUNDING MUNICIPALITIES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B, Chapter 33, Utilities Code, is amended by adding Section 33.0211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33.0211.</w:t>
      </w:r>
      <w:r>
        <w:rPr>
          <w:u w:val="single"/>
        </w:rPr>
        <w:t xml:space="preserve"> </w:t>
      </w:r>
      <w:r>
        <w:rPr>
          <w:u w:val="single"/>
        </w:rPr>
        <w:t xml:space="preserve"> </w:t>
      </w:r>
      <w:r>
        <w:rPr>
          <w:u w:val="single"/>
        </w:rPr>
        <w:t xml:space="preserve">RATES AND FEES CHARGED BY CERTAIN MUNICIPALLY OWNED UTILITIES.  (a)  This section applies only to a municipally owned utility that is located in a municipality that is a defunding local government under Section 140.013,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may not charge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rate higher than the rate the customer was charged or would have been charged on January 1 of the year that the municipality was determined to be a defunding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customer fees in amounts higher than the customer fees the customer was charged or would have been charged on January 1 of the year that the municipality was determined to be a defunding local government;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types of customer fees that the customer was not charged or would not have been charged on January 1 of the year that the municipality was determined to be a defunding local government.</w:t>
      </w:r>
    </w:p>
    <w:p w:rsidR="003F3435" w:rsidRDefault="0032493E">
      <w:pPr>
        <w:spacing w:line="480" w:lineRule="auto"/>
        <w:jc w:val="center"/>
      </w:pPr>
      <w:r>
        <w:t xml:space="preserve">ARTICLE 5.  TRANSITION PROVISIONS;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140.013, Local Government Code, as added by this Act, applies only to the adoption of a budget by a municipality or county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w:t>
      </w:r>
      <w:r xml:space="preserve">
        <w:t> </w:t>
      </w:r>
      <w:r>
        <w:t xml:space="preserve">26.0501, Tax Code, as added by this Act, applies beginning with the 2021 tax year.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321.5025, Tax Code, as added by this Act, applies only to a distribution of municipal sales and use tax revenue to a municipality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Section 33.0211, Utilities Code, as added by this Act, applies only to a proceeding for the establishment of rates for which the governing body of a municipally owned utility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