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87R3078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1907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statewide all payor claims database to store publicly accessible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Health and Safety Code, is amended by adding Chapter 108A to read as follows:</w:t>
      </w:r>
    </w:p>
    <w:p w:rsidR="003F3435" w:rsidRDefault="0032493E">
      <w:pPr>
        <w:spacing w:line="480" w:lineRule="auto"/>
        <w:jc w:val="center"/>
      </w:pPr>
      <w:r>
        <w:rPr>
          <w:u w:val="single"/>
        </w:rPr>
        <w:t xml:space="preserve">CHAPTER 108A.  STATEWIDE ALL PAYOR CLAIMS DATABASE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Center for Healthcare Data at The University of Texas Health Science Center at Houston.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"Database" means the statewide all payor claims database established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"Payor" means an insurance company, a health maintenance organization, a Medicaid managed care organization, or another organization that pays a health care provider to provide health care benefits to a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108A.002.</w:t>
      </w:r>
      <w:r>
        <w:rPr>
          <w:u w:val="single"/>
        </w:rPr>
        <w:t xml:space="preserve"> </w:t>
      </w:r>
      <w:r>
        <w:rPr>
          <w:u w:val="single"/>
        </w:rPr>
        <w:t xml:space="preserve"> </w:t>
      </w:r>
      <w:r>
        <w:rPr>
          <w:u w:val="single"/>
        </w:rPr>
        <w:t xml:space="preserve">ESTABLISHMENT AND ADMINISTRATION OF STATEWIDE ALL PAYOR CLAIMS DATABASE.  (a)  The department shall collaborate with and leverage the existing resources and infrastructure of the center to establish a statewide all payor claims database to collect, process, and store health care claims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shall serve as the administrator of the database and manage information submitted for inclusion in the database. In determining the information a payor is required to submit to the center, the center must consider requiring inclusion of information useful to researchers and policymakers for improving health care quality and outcomes and lowering health care costs and information useful to consumers for price transparency.  The required information at a minimum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health care provider paid by the payor;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 of health care benefits provided by the health care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paid by the payor for the health care benefits;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estimated copayment amount paid by the patient who received the health care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payor annually shall submit to the center for inclusion in the database the health care claims information required by the center under Subsection (b) for all health care benefits paid by the payor during the preceding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center shall ensure that health care claims information submitted to the center under Subsection (c) is stored in the database and accessible to the public in the manner described by Section 108A.003.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108A.003.</w:t>
      </w:r>
      <w:r>
        <w:rPr>
          <w:u w:val="single"/>
        </w:rPr>
        <w:t xml:space="preserve"> </w:t>
      </w:r>
      <w:r>
        <w:rPr>
          <w:u w:val="single"/>
        </w:rPr>
        <w:t xml:space="preserve"> </w:t>
      </w:r>
      <w:r>
        <w:rPr>
          <w:u w:val="single"/>
        </w:rPr>
        <w:t xml:space="preserve">PUBLIC ACCESS TO DATABASE.  (a)  The center shall aggregate information submitted to or stored in the database in an open-source format that is machine-readable and allows the public to easily access and navigate the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database must be accessible through the center's Internet website and allow the public to search the information in the database at a minimum by the categories described by Section 108A.002(b).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shall ensure information in the database that is accessible to the public does not disclose a patient's personally identifiable information or information that is confidential under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108A.004.</w:t>
      </w:r>
      <w:r>
        <w:rPr>
          <w:u w:val="single"/>
        </w:rPr>
        <w:t xml:space="preserve"> </w:t>
      </w:r>
      <w:r>
        <w:rPr>
          <w:u w:val="single"/>
        </w:rPr>
        <w:t xml:space="preserve"> </w:t>
      </w:r>
      <w:r>
        <w:rPr>
          <w:u w:val="single"/>
        </w:rPr>
        <w:t xml:space="preserve">MEMORANDUM OF UNDERSTANDING; RULES.  The executive commissioner on behalf of the department, the Texas Higher Education Coordinating Board on behalf of the center, and the commissioner of insurance on behalf of the Texas Department of Insurance shall each by rule adopt a memorandum of understanding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ensures the database is operated and maintained in accordance with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applicable, defines each agency's responsibilities with respect to payors that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required to submit health care claims information to the database;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under the jurisdiction of the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identifies and establishes enforcement mechanisms for each agency to ensure: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center, in collaboration with the department, operates and maintains the database in accordance with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payors under the jurisdiction of the agency submit the required health care claims information to the database in accordance with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the Texas Higher Education Coordinating Board, and the commissioner of insurance shall adopt rules necessary to implement Chapter 108A,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