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87R5387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Burrows, Canales, Schaefer,</w:t>
      </w:r>
      <w:r xml:space="preserve">
        <w:tab wTab="150" tlc="none" cTlc="0"/>
      </w:r>
      <w:r>
        <w:t xml:space="preserve">H.B.</w:t>
      </w:r>
      <w:r xml:space="preserve">
        <w:t> </w:t>
      </w:r>
      <w:r>
        <w:t xml:space="preserve">No.</w:t>
      </w:r>
      <w:r xml:space="preserve">
        <w:t> </w:t>
      </w:r>
      <w:r>
        <w:t xml:space="preserve">1911</w:t>
      </w:r>
    </w:p>
    <w:p w:rsidR="003F3435" w:rsidRDefault="0032493E">
      <w:pPr>
        <w:jc w:val="both"/>
      </w:pPr>
      <w:r xml:space="preserve">
        <w:t> </w:t>
      </w:r>
      <w:r xml:space="preserve">
        <w:t> </w:t>
      </w:r>
      <w:r xml:space="preserve">
        <w:t> </w:t>
      </w:r>
      <w:r xml:space="preserve">
        <w:t> </w:t>
      </w:r>
      <w:r xml:space="preserve">
        <w:t> </w:t>
      </w:r>
      <w:r>
        <w:t xml:space="preserve">Hefner,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handgun by certain unlicensed persons and to other provisions related to the carrying, possessing, transporting, or storing of a firearm; providing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w:t>
      </w:r>
      <w:r>
        <w:rPr>
          <w:strike/>
        </w:rPr>
        <w:t xml:space="preserve">, unless the person is  licensed to carry a handgun under Subchapter H, Chapter 411, Government Code, and the handgun is carried in a shoulder or belt holster</w:t>
      </w:r>
      <w:r>
        <w:t xml:space="preserve">];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46.03(e-1), (e-2), and (f), Penal Code, are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the actor</w:t>
      </w:r>
      <w:r>
        <w:t xml:space="preserve">] was licensed to carry </w:t>
      </w:r>
      <w:r>
        <w:rPr>
          <w:u w:val="single"/>
        </w:rPr>
        <w:t xml:space="preserve">a handgun</w:t>
      </w:r>
      <w:r>
        <w:t xml:space="preserve"> under Subchapter H, Chapter 411, Government Code</w:t>
      </w:r>
      <w:r>
        <w:rPr>
          <w:u w:val="single"/>
        </w:rPr>
        <w:t xml:space="preserve">, or, if unlicensed, was not prohibited by state or federal law from carrying a handgun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exited the screening checkpoint for the secured area immediately </w:t>
      </w:r>
      <w:r>
        <w:rPr>
          <w:u w:val="single"/>
        </w:rPr>
        <w:t xml:space="preserve">on</w:t>
      </w:r>
      <w:r>
        <w:t xml:space="preserve"> [</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licensed to carry under Subchapter H, Chapter 411, Government Code, </w:t>
      </w:r>
      <w:r>
        <w:rPr>
          <w:u w:val="single"/>
        </w:rPr>
        <w:t xml:space="preserve">or, if unlicensed, is not prohibited by state or federal law from carrying,</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unlicensed, not prohibited by state or federal law from carrying a handgun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(d), and (i),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meeting </w:t>
      </w:r>
      <w:r>
        <w:rPr>
          <w:u w:val="single"/>
        </w:rPr>
        <w:t xml:space="preserve">described by Subdivision (1)</w:t>
      </w:r>
      <w:r>
        <w:t xml:space="preserve">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(i)</w:t>
      </w:r>
      <w:r xml:space="preserve">
        <w:t> </w:t>
      </w:r>
      <w:r xml:space="preserve">
        <w:t> </w:t>
      </w:r>
      <w:r>
        <w:t xml:space="preserve">Subsections (b)(4), (b)(5), and (c) do not apply if the actor was not given effective notice under Section </w:t>
      </w:r>
      <w:r>
        <w:rPr>
          <w:u w:val="single"/>
        </w:rPr>
        <w:t xml:space="preserve">30.05,</w:t>
      </w:r>
      <w:r>
        <w:t xml:space="preserve"> 30.06</w:t>
      </w:r>
      <w:r>
        <w:rPr>
          <w:u w:val="single"/>
        </w:rPr>
        <w:t xml:space="preserve">,</w:t>
      </w:r>
      <w:r>
        <w:t xml:space="preserve"> or 30.07.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 Penal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Sections 46.02</w:t>
      </w:r>
      <w:r>
        <w:rPr>
          <w:u w:val="single"/>
        </w:rPr>
        <w:t xml:space="preserve">,</w:t>
      </w:r>
      <w:r>
        <w:t xml:space="preserve"> [</w:t>
      </w:r>
      <w:r>
        <w:rPr>
          <w:strike/>
        </w:rPr>
        <w:t xml:space="preserve">and</w:t>
      </w:r>
      <w:r>
        <w:t xml:space="preserve">] 46.03</w:t>
      </w:r>
      <w:r>
        <w:rPr>
          <w:u w:val="single"/>
        </w:rPr>
        <w:t xml:space="preserve">, 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rPr>
          <w:u w:val="single"/>
        </w:rPr>
        <w:t xml:space="preserve">licensed to carry</w:t>
      </w:r>
      <w:r>
        <w:t xml:space="preserve"> [</w:t>
      </w:r>
      <w:r>
        <w:rPr>
          <w:strike/>
        </w:rPr>
        <w:t xml:space="preserve">carrying</w:t>
      </w:r>
      <w:r>
        <w:t xml:space="preserve">] a handgun under [</w:t>
      </w:r>
      <w:r>
        <w:rPr>
          <w:strike/>
        </w:rPr>
        <w:t xml:space="preserve">the authority of</w:t>
      </w:r>
      <w:r>
        <w:t xml:space="preserve">]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judge or justice of a federal court who is licensed to carry a handgun under Subchapter H, Chapter 411, Government Code</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46.02(a) and (a-1)(1) do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the handgun in a concealed manner or in a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under Sections 411.172(a)(1)-(13),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a criminal street gang, as defined by Section 71.01;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engaged in criminal activity, other than a Class C misdemeanor that is a violation of a law or ordinance regulating traffic or boating;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location in which carrying a handgun or other firearm is prohibited under Section 46.03(a) or 46.035(b) or (c) or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requirement under Section 411.205, Government Code, that a person subject to that section present a driver's license or identification certificate </w:t>
      </w:r>
      <w:r>
        <w:rPr>
          <w:u w:val="single"/>
        </w:rPr>
        <w:t xml:space="preserve">or other proof of identity</w:t>
      </w:r>
      <w:r>
        <w:t xml:space="preserve"> </w:t>
      </w:r>
      <w:r>
        <w:t xml:space="preserve">[</w:t>
      </w:r>
      <w:r>
        <w:rPr>
          <w:strike/>
        </w:rPr>
        <w:t xml:space="preserve">in addition to a concealed handgun license</w:t>
      </w:r>
      <w:r>
        <w:t xml:space="preserve">]; or</w:t>
      </w:r>
    </w:p>
    <w:p w:rsidR="003F3435" w:rsidRDefault="0032493E">
      <w:pPr>
        <w:spacing w:line="480" w:lineRule="auto"/>
        <w:ind w:firstLine="1440"/>
        <w:jc w:val="both"/>
      </w:pPr>
      <w:r>
        <w:t xml:space="preserve">(2)</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r>
        <w:rPr>
          <w:u w:val="single"/>
        </w:rPr>
        <w:t xml:space="preserve">, or unlawfully carrying a firearm as described by Section 46.03 or 46.035, Penal Code</w:t>
      </w:r>
      <w:r>
        <w:t xml:space="preserv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w:t>
      </w:r>
      <w:r>
        <w:rPr>
          <w:strike/>
        </w:rPr>
        <w:t xml:space="preserve">the offense of unlawfully carrying weapons under Section 46.02, Penal Code, or elements of</w:t>
      </w:r>
      <w:r>
        <w:t xml:space="preserve">] an offense relating to [</w:t>
      </w:r>
      <w:r>
        <w:rPr>
          <w:strike/>
        </w:rPr>
        <w:t xml:space="preserve">prohibited</w:t>
      </w:r>
      <w:r>
        <w:t xml:space="preserve">] weapons under Section </w:t>
      </w:r>
      <w:r>
        <w:rPr>
          <w:u w:val="single"/>
        </w:rPr>
        <w:t xml:space="preserve">46.02 or</w:t>
      </w:r>
      <w:r>
        <w:t xml:space="preserve">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46.15(a)(4), (6), [</w:t>
      </w:r>
      <w:r>
        <w:rPr>
          <w:strike/>
        </w:rPr>
        <w:t xml:space="preserve">or</w:t>
      </w:r>
      <w:r>
        <w:t xml:space="preserve">] (7), </w:t>
      </w:r>
      <w:r>
        <w:rPr>
          <w:u w:val="single"/>
        </w:rPr>
        <w:t xml:space="preserve">or (11),</w:t>
      </w:r>
      <w:r>
        <w:t xml:space="preserve"> Penal Code, to indicate on the license the license holder's status as a qualified handgun instructor or as the attorney general or a judge, justice, United States attorney, assistant United States attorney, assistant attorney general, </w:t>
      </w:r>
      <w:r>
        <w:rPr>
          <w:u w:val="single"/>
        </w:rPr>
        <w:t xml:space="preserve">prosecuting</w:t>
      </w:r>
      <w:r>
        <w:t xml:space="preserve"> [</w:t>
      </w:r>
      <w:r>
        <w:rPr>
          <w:strike/>
        </w:rPr>
        <w:t xml:space="preserve">district</w:t>
      </w:r>
      <w:r>
        <w:t xml:space="preserve">] attorney, </w:t>
      </w:r>
      <w:r>
        <w:rPr>
          <w:u w:val="single"/>
        </w:rPr>
        <w:t xml:space="preserve">or assistant prosecuting</w:t>
      </w:r>
      <w:r>
        <w:t xml:space="preserve"> [</w:t>
      </w:r>
      <w:r>
        <w:rPr>
          <w:strike/>
        </w:rPr>
        <w:t xml:space="preserve">criminal district</w:t>
      </w:r>
      <w:r>
        <w:t xml:space="preserve">] attorney[</w:t>
      </w:r>
      <w:r>
        <w:rPr>
          <w:strike/>
        </w:rPr>
        <w:t xml:space="preserve">, or county attorney</w:t>
      </w:r>
      <w:r>
        <w:t xml:space="preserve">]. </w:t>
      </w:r>
      <w:r>
        <w:t xml:space="preserve">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411.201(c),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w:t>
      </w:r>
      <w:r>
        <w:rPr>
          <w:u w:val="single"/>
        </w:rPr>
        <w:t xml:space="preserve">any persons, including</w:t>
      </w:r>
      <w:r>
        <w:t xml:space="preserve"> </w:t>
      </w:r>
      <w:r>
        <w:t xml:space="preserve">persons who are licensed under this subchapter</w:t>
      </w:r>
      <w:r>
        <w:rPr>
          <w:u w:val="single"/>
        </w:rPr>
        <w:t xml:space="preserve">,</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w:t>
      </w:r>
      <w:r>
        <w:rPr>
          <w:u w:val="single"/>
        </w:rPr>
        <w:t xml:space="preserve">IDENTIFICATION AND HANDGUN</w:t>
      </w:r>
      <w:r>
        <w:t xml:space="preserve"> LICENSE.  If a </w:t>
      </w:r>
      <w:r>
        <w:rPr>
          <w:u w:val="single"/>
        </w:rPr>
        <w:t xml:space="preserve">person</w:t>
      </w:r>
      <w:r>
        <w:t xml:space="preserve"> [</w:t>
      </w:r>
      <w:r>
        <w:rPr>
          <w:strike/>
        </w:rPr>
        <w:t xml:space="preserve">license holder</w:t>
      </w:r>
      <w:r>
        <w:t xml:space="preserve">] is carrying a handgun [</w:t>
      </w:r>
      <w:r>
        <w:rPr>
          <w:strike/>
        </w:rPr>
        <w:t xml:space="preserve">on or about the license holder's person</w:t>
      </w:r>
      <w:r>
        <w:t xml:space="preserve">] when a magistrate or a peace officer demands that the </w:t>
      </w:r>
      <w:r>
        <w:rPr>
          <w:u w:val="single"/>
        </w:rPr>
        <w:t xml:space="preserve">person</w:t>
      </w:r>
      <w:r>
        <w:t xml:space="preserve"> [</w:t>
      </w:r>
      <w:r>
        <w:rPr>
          <w:strike/>
        </w:rPr>
        <w:t xml:space="preserve">license holder</w:t>
      </w:r>
      <w:r>
        <w:t xml:space="preserve">] display identification, the </w:t>
      </w:r>
      <w:r>
        <w:rPr>
          <w:u w:val="single"/>
        </w:rPr>
        <w:t xml:space="preserve">person</w:t>
      </w:r>
      <w:r>
        <w:t xml:space="preserve"> [</w:t>
      </w:r>
      <w:r>
        <w:rPr>
          <w:strike/>
        </w:rPr>
        <w:t xml:space="preserve">license holder</w:t>
      </w:r>
      <w:r>
        <w:t xml:space="preserve">] shall display [</w:t>
      </w:r>
      <w:r>
        <w:rPr>
          <w:strike/>
        </w:rPr>
        <w:t xml:space="preserve">both</w:t>
      </w:r>
      <w:r>
        <w:t xml:space="preserve">] the </w:t>
      </w:r>
      <w:r>
        <w:rPr>
          <w:u w:val="single"/>
        </w:rPr>
        <w:t xml:space="preserve">person's</w:t>
      </w:r>
      <w:r>
        <w:t xml:space="preserve"> [</w:t>
      </w:r>
      <w:r>
        <w:rPr>
          <w:strike/>
        </w:rPr>
        <w:t xml:space="preserve">license holder's</w:t>
      </w:r>
      <w:r>
        <w:t xml:space="preserve">] driver's license or identification certificate issued by the department </w:t>
      </w:r>
      <w:r>
        <w:rPr>
          <w:u w:val="single"/>
        </w:rPr>
        <w:t xml:space="preserve">or other proof of identity.  If the person is a license holder under this subchapter and is carrying the person's handgun license, the person also shall display</w:t>
      </w:r>
      <w:r>
        <w:t xml:space="preserve"> [</w:t>
      </w:r>
      <w:r>
        <w:rPr>
          <w:strike/>
        </w:rPr>
        <w:t xml:space="preserve">and</w:t>
      </w:r>
      <w:r>
        <w:t xml:space="preserve">] the </w:t>
      </w:r>
      <w:r>
        <w:rPr>
          <w:u w:val="single"/>
        </w:rPr>
        <w:t xml:space="preserve">person's</w:t>
      </w:r>
      <w:r>
        <w:t xml:space="preserve"> [</w:t>
      </w:r>
      <w:r>
        <w:rPr>
          <w:strike/>
        </w:rPr>
        <w:t xml:space="preserve">license holder's</w:t>
      </w:r>
      <w:r>
        <w:t xml:space="preserve">] handgun license.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411.207(a),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the 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by law from carrying a handgun</w:t>
      </w:r>
      <w:r>
        <w:t xml:space="preserve"> [</w:t>
      </w:r>
      <w:r>
        <w:rPr>
          <w:strike/>
        </w:rPr>
        <w:t xml:space="preserve">license holder</w:t>
      </w:r>
      <w:r>
        <w:t xml:space="preserve">].</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a </w:t>
      </w:r>
      <w:r>
        <w:rPr>
          <w:u w:val="single"/>
        </w:rPr>
        <w:t xml:space="preserve">person only temporarily,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The</w:t>
      </w:r>
      <w:r>
        <w:t xml:space="preserve">[</w:t>
      </w:r>
      <w:r>
        <w:rPr>
          <w:strike/>
        </w:rPr>
        <w:t xml:space="preserve">, if the</w:t>
      </w:r>
      <w:r>
        <w:t xml:space="preserve">] law enforcement agency </w:t>
      </w:r>
      <w:r>
        <w:rPr>
          <w:u w:val="single"/>
        </w:rPr>
        <w:t xml:space="preserve">shall provide</w:t>
      </w:r>
      <w:r>
        <w:t xml:space="preserve"> [</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license holder who is carrying a handgun under [</w:t>
      </w:r>
      <w:r>
        <w:rPr>
          <w:strike/>
        </w:rPr>
        <w:t xml:space="preserve">the authority of</w:t>
      </w:r>
      <w:r>
        <w:t xml:space="preserve">] this subchapter is prohibited from entering or remaining on a premises or other place owned or leased by the governmental entity unless license holders are prohibited from carrying a handgun on the premises or other place by Section 46.03 or 46.035, Penal Code, or other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prohibited by state or federal law from carrying the handgun</w:t>
      </w:r>
      <w:r>
        <w:t xml:space="preserve"> [</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52.061, Labor Code, is amended to read as follows:</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RESTRICTION ON PROHIBITING EMPLOYEE ACCESS TO OR STORAGE OF FIREARM OR AMMUNITION.  A public or private employer may not prohibit an employee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from transporting or storing a firearm or ammunition [</w:t>
      </w:r>
      <w:r>
        <w:rPr>
          <w:strike/>
        </w:rPr>
        <w:t xml:space="preserve">the employee is authorized by law to possess</w:t>
      </w:r>
      <w:r>
        <w:t xml:space="preserve">] in a locked, privately owned motor vehicle in a parking lot, parking garage, or other parking area the employer provides for employees.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otherwise prohibited by state or federal law from possessing a firearm or ammunition</w:t>
      </w:r>
      <w:r>
        <w:t xml:space="preserve"> [</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prohibited by state or federal law from carrying the handgun</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lawfully carrying</w:t>
      </w:r>
      <w:r>
        <w:t xml:space="preserve"> [</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prohibited by state or federal law from carrying a handgun</w:t>
      </w:r>
      <w:r>
        <w:t xml:space="preserve"> [</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287.001(e),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w:t>
      </w:r>
      <w:r>
        <w:rPr>
          <w:strike/>
        </w:rPr>
        <w:t xml:space="preserve">concealed</w:t>
      </w:r>
      <w:r>
        <w:t xml:space="preserve">]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u w:val="single"/>
        </w:rPr>
        <w:t xml:space="preserve">or a firearm in violation of Section 46.03 or 46.035</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30.05, Penal Code, is amended by amending Subsections (d) and (f) and adding Subsections (d-3) and (d-4)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(d-3) and (d-4), an</w:t>
      </w:r>
      <w:r>
        <w:t xml:space="preserve"> [</w:t>
      </w:r>
      <w:r>
        <w:rPr>
          <w:strike/>
        </w:rPr>
        <w:t xml:space="preserve">An</w:t>
      </w:r>
      <w:r>
        <w:t xml:space="preserve">]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or</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An offense under this section is a Class C misdemeanor punishable by a fine not to exceed $200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sole basis on which entry on the property or land or in the building was forbidden is that entry with a firearm was forbidden;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carrying in a concealed manner or in a holster a handgun that the person was not prohibited by state or federal law from carrying at the time of the offense.</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An offense under this section is a Class A misdemeanor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sole basis on which entry on the property or land or in the building was forbidden is that entry with a firearm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carrying in a concealed manner or in a holster a handgun that the person was not prohibited by state or federal law from carrying at the time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shown on the trial of the offense that, after entering the property, land, or building, the actor was personally given notice by oral communication that entry with a firearm was forbidden and subsequently failed to depart.</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sole</w:t>
      </w:r>
      <w:r>
        <w:t xml:space="preserve"> basis on which entry on the property or land or in the building was forbidden is that entry with a </w:t>
      </w:r>
      <w:r>
        <w:rPr>
          <w:u w:val="single"/>
        </w:rPr>
        <w:t xml:space="preserve">firearm</w:t>
      </w:r>
      <w:r>
        <w:t xml:space="preserve"> [</w:t>
      </w:r>
      <w:r>
        <w:rPr>
          <w:strike/>
        </w:rPr>
        <w:t xml:space="preserve">handgun</w:t>
      </w:r>
      <w:r>
        <w:t xml:space="preserve">] was forbidden; and</w:t>
      </w:r>
    </w:p>
    <w:p w:rsidR="003F3435" w:rsidRDefault="0032493E">
      <w:pPr>
        <w:spacing w:line="480" w:lineRule="auto"/>
        <w:ind w:firstLine="1440"/>
        <w:jc w:val="both"/>
      </w:pPr>
      <w:r>
        <w:t xml:space="preserve">(2)</w:t>
      </w:r>
      <w:r xml:space="preserve">
        <w:t> </w:t>
      </w:r>
      <w:r xml:space="preserve">
        <w:t> </w:t>
      </w:r>
      <w:r>
        <w:rPr>
          <w:u w:val="single"/>
        </w:rPr>
        <w:t xml:space="preserve">at the time of the offense</w:t>
      </w:r>
      <w:r>
        <w:t xml:space="preserve"> 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11.041, Alcoholic Beverage Code;</w:t>
      </w:r>
    </w:p>
    <w:p w:rsidR="003F3435" w:rsidRDefault="0032493E">
      <w:pPr>
        <w:spacing w:line="480" w:lineRule="auto"/>
        <w:ind w:firstLine="1440"/>
        <w:jc w:val="both"/>
      </w:pPr>
      <w:r>
        <w:t xml:space="preserve">(2)</w:t>
      </w:r>
      <w:r xml:space="preserve">
        <w:t> </w:t>
      </w:r>
      <w:r xml:space="preserve">
        <w:t> </w:t>
      </w:r>
      <w:r>
        <w:t xml:space="preserve">Section 11.61(e), Alcoholic Beverage Code;</w:t>
      </w:r>
    </w:p>
    <w:p w:rsidR="003F3435" w:rsidRDefault="0032493E">
      <w:pPr>
        <w:spacing w:line="480" w:lineRule="auto"/>
        <w:ind w:firstLine="1440"/>
        <w:jc w:val="both"/>
      </w:pPr>
      <w:r>
        <w:t xml:space="preserve">(3)</w:t>
      </w:r>
      <w:r xml:space="preserve">
        <w:t> </w:t>
      </w:r>
      <w:r xml:space="preserve">
        <w:t> </w:t>
      </w:r>
      <w:r>
        <w:t xml:space="preserve">Section 61.11, Alcoholic Beverage Code;</w:t>
      </w:r>
    </w:p>
    <w:p w:rsidR="003F3435" w:rsidRDefault="0032493E">
      <w:pPr>
        <w:spacing w:line="480" w:lineRule="auto"/>
        <w:ind w:firstLine="1440"/>
        <w:jc w:val="both"/>
      </w:pPr>
      <w:r>
        <w:t xml:space="preserve">(4)</w:t>
      </w:r>
      <w:r xml:space="preserve">
        <w:t> </w:t>
      </w:r>
      <w:r xml:space="preserve">
        <w:t> </w:t>
      </w:r>
      <w:r>
        <w:t xml:space="preserve">Section 61.71(f), Alcoholic Beverage Code;</w:t>
      </w:r>
    </w:p>
    <w:p w:rsidR="003F3435" w:rsidRDefault="0032493E">
      <w:pPr>
        <w:spacing w:line="480" w:lineRule="auto"/>
        <w:ind w:firstLine="1440"/>
        <w:jc w:val="both"/>
      </w:pPr>
      <w:r>
        <w:t xml:space="preserve">(5)</w:t>
      </w:r>
      <w:r xml:space="preserve">
        <w:t> </w:t>
      </w:r>
      <w:r xml:space="preserve">
        <w:t> </w:t>
      </w:r>
      <w:r>
        <w:t xml:space="preserve">Section 411.204(d), Government Code;</w:t>
      </w:r>
    </w:p>
    <w:p w:rsidR="003F3435" w:rsidRDefault="0032493E">
      <w:pPr>
        <w:spacing w:line="480" w:lineRule="auto"/>
        <w:ind w:firstLine="1440"/>
        <w:jc w:val="both"/>
      </w:pPr>
      <w:r>
        <w:t xml:space="preserve">(6)</w:t>
      </w:r>
      <w:r xml:space="preserve">
        <w:t> </w:t>
      </w:r>
      <w:r xml:space="preserve">
        <w:t> </w:t>
      </w:r>
      <w:r>
        <w:t xml:space="preserve">Section 46.035(h-1), Penal Code, as added by Chapter 1222 (H.B. 2300), Acts of the 80th Legislature, Regular Session, 2007; and</w:t>
      </w:r>
    </w:p>
    <w:p w:rsidR="003F3435" w:rsidRDefault="0032493E">
      <w:pPr>
        <w:spacing w:line="480" w:lineRule="auto"/>
        <w:ind w:firstLine="1440"/>
        <w:jc w:val="both"/>
      </w:pPr>
      <w:r>
        <w:t xml:space="preserve">(7)</w:t>
      </w:r>
      <w:r xml:space="preserve">
        <w:t> </w:t>
      </w:r>
      <w:r xml:space="preserve">
        <w:t> </w:t>
      </w:r>
      <w:r>
        <w:t xml:space="preserve">Section 46.035(h-1), Penal Code, as added by Chapter 1214 (H.B. 1889), Acts of the 80th Legislature, Regular Session, 2007.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change in law made by this Act relating to the carrying of a handgun applies to the carrying of a handgun on or after the effective date of this Act by a person described by Section 46.15(m), Penal Code, as added by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