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87R3731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an applicant for a permit to drill an oil or gas well submit a gas capture plan for the well.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86, Natural Resources Code, is amended by adding Section 86.186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86.186.</w:t>
      </w:r>
      <w:r>
        <w:rPr>
          <w:u w:val="single"/>
        </w:rPr>
        <w:t xml:space="preserve"> </w:t>
      </w:r>
      <w:r>
        <w:rPr>
          <w:u w:val="single"/>
        </w:rPr>
        <w:t xml:space="preserve"> </w:t>
      </w:r>
      <w:r>
        <w:rPr>
          <w:u w:val="single"/>
        </w:rPr>
        <w:t xml:space="preserve">GAS CAPTURE PLAN.  (a) </w:t>
      </w:r>
      <w:r>
        <w:rPr>
          <w:u w:val="single"/>
        </w:rPr>
        <w:t xml:space="preserve"> </w:t>
      </w:r>
      <w:r>
        <w:rPr>
          <w:u w:val="single"/>
        </w:rPr>
        <w:t xml:space="preserve">The commission may not issue a permit to drill, deepen, plug back, or reenter an oil or gas well unless the applicant submits with the application a gas capture plan to minimize flaring from the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gas capture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volume of gas anticipated to be produced from the well annually, measured in thousands of cubic feet;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volume of oil anticipated to be produced from the well annually, measured in barrels;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condensate anticipated to be produced from the well annually, measured in barrels;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map depicting each existing, planned, and anticipated gas gathering system in the general area of the well;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following information with regard to the gas gathering system that the operator of the well has contracted to use or, if the operator has not entered into a contract, the gas gathering system that is closest to the well: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operator of the gas gathering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approximate route of the pipeline required to connect the well to the gas gathering system;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distance in feet of the pipeline required to connect the well to the gas gathering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volume of gas in thousands of cubic feet per day that the gas gathering system is capable of transporting;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volume of gas in thousands of cubic feet per day that the gas gathering system is currently transporting;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volume of gas in thousands of cubic feet per day that the gas gathering system is anticipated to be transporting on the date of first sale of gas from the well;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reliability of the gas gathering system, including the average annual downtime of the system;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name and location of the gas processing plant that receives or is anticipated to receive gas from the gas gathering system;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plans for expanding the gas gathering systems in the general area of the well;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issues affecting the gathering of gas in the general area of the well;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plan for connecting the well to a gas gathering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any potential right-of-way issues;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schedule for constructing any necessary gas gathering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a gas gathering line will be available;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of whether the gas gathering system described by Subdivision (5) has the capacity to accept the volume of gas anticipated to be produced from the well at the time of application for the permit;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description of any discussions the operator of the well has had with other upstream operators regarding the construction or availability of a gas gathering line;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description of any options available to the operator of the well for the beneficial use of gas from the well if the well cannot be connected to a gas gathering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on-site use of the gas;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processing of liquids in the gas;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the gas for electric power generation;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conversion of the gas to liquid fuels;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compression of the gas on the lease on which the well is located;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reinjection of the gas for underground storage;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reinjection of the gas for temporary storage;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reinjection of the gas for enhanced oil recovery;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shutting in the well, taking into account the effect of doing so on the reservoir as well as public health, safety, and the environment.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permit the application for which is filed with the Railroad Commission of Texas on or after the effective date of this Act. A permit the application for which is filed before the effective date of this Act is subject to the law in effect on the date the application is filed,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