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87R2325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criminal offense for failing to secure certain children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545.412, Transportation Code, is amended by adding Subsections (a-1), (a-2),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passenger vehicle, transports a child who is younger than two years of age, and does not keep the child secured during the operation of the vehicle in a rear-facing child passenger safety seat system unless the child: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taller than three feet, four inches;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weighs more than 40 pounds.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stop a motor vehicle or detain the operator of a motor vehicle solely to enforce Subsection (a-1);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a citation for an offense under Subsection (a-1) unless the officer determines that the person has previously been issued a warning or citation for or convicted of that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 defense to prosecution under Subsection (a-1) that the child has a medical condition, as evidenced by a written statement from a licensed physician, that prevents the child from being secured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prosecution of an offense to which this section applies that the defendant provides to the court evidence satisfactory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of the offense: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 was not arrested or issued a citation for violation of any other offense;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 did not possess a child passenger safety seat system in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vehicle the defendant was operating was not involved in an accident;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subsequent to the time of the offense, the defendant obtained an appropriate child passenger safety seat system for each child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545.413(b)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passenger vehicle that is equipped with safety belts;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the vehicle without requiring the child to be secured by a safety belt, provided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person commits an offense if the person 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a passenger van designed to transport 15 or fewer passengers, including the driver, without securing the child individually by a safety belt, if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