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1919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Schwertner, et al.)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Health &amp; Human Services;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1919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prohibited practices for certain health benefit plan issuers and certain required and prohibited practices for certain pharmacy benefit managers.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1369, Insurance Code, is amended by adding Subchapters L and M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 AFFILIATED PROVIDERS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"Affiliated provider" means a pharmacy or durable medical equipment provider that directly, or indirectly through one or more intermediaries, controls, is controlled by, or is under common control with a health benefit plan issuer or pharmacy benefit manager.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benefit plan" has the meaning assigned by Section 1369.251.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 benefit manager" has the meaning assigned by Section 4151.151.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EXCEPTIONS TO APPLICABILITY OF SUBCHAPTER.  Notwithstanding the definition of "health benefit plan"</w:t>
      </w:r>
      <w:r>
        <w:rPr>
          <w:u w:val="single"/>
        </w:rPr>
        <w:t xml:space="preserve"> </w:t>
      </w:r>
      <w:r>
        <w:rPr>
          <w:u w:val="single"/>
        </w:rPr>
        <w:t xml:space="preserve">provided by Section 1369.551, this subchapter does not apply to an issuer or provider of health benefits under or a pharmacy benefit manager administering pharmacy benefits under: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533,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 health plan program under Chapter 62,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TRICARE military health system;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workers' compensation insurance policy or other form of providing medical benefits under Title 5,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TRANSFER OR ACCEPTANCE OF CERTAIN RECORDS PROHIBITED.  (a)  In this section, "commercial purpose" does not include pharmacy reimbursement, formulary compliance, pharmaceutical care, utilization review by a health care provider, or a public health activity authorized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transfer to or receive from the issuer's or manager's affiliated provider a record containing patient- or prescriber-identifiable prescription information for a commercial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COMMUNICATIONS.  (a)  A health benefit plan issuer or pharmacy benefit manager may not steer or direct a patient to use the issuer's or manager's affiliated provider through any oral or written communication,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online messaging regarding the provider;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patient- or prospective patient-specific advertising, marketing, or promotion of the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health benefit plan issuer or pharmacy benefit manager from including the issuer's or manager's affiliated provider in a patient or prospective patient communication, if the communication: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regarding information about the cost or service provided by pharmacies or durable medical equipment providers in the network of a health benefit plan in which the patient or prospective patient is enrolled;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accurate comparable information regarding pharmacies or durable medical equipment providers in the network that are not the issuer's or manager's affiliated providers.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REFERRALS AND SOLICITATIONS.  (a)  A health benefit plan issuer or pharmacy benefit manager may not require a patient to use the issuer's or manager's affiliated provider in order for the patient to receive the maximum benefit for the service under the patient's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offer or implement a health benefit plan that requires or induces a patient to use the issuer's or manager's affiliated provider, including by providing for reduced cost-sharing if the patient uses the affiliated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solicit a patient or prescriber to transfer a patient prescription to the issuer's or manager's affiliated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or pharmacy benefit manager may not require a pharmacy or durable medical equipment provider that is not the issuer's or manager's affiliated provider to transfer a patient's prescription to the issuer's or manager's affiliated provider without the prior written consent of the patient.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M.  CLINICIAN-ADMINISTERED DRUGS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"Affiliated provider" means a pharmacy or durable medical equipment provider that directly, or indirectly through one or more intermediaries, controls, is controlled by, or is under common control with a health benefit plan issuer or pharmacy benefit manager.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"Clinician-administered drug" means an outpatient prescription drug other than a vaccine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cannot reasonably be: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self-administered by the patient to whom the drug is prescribed;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administered by an individual assisting the patient with the self-administration;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typically administered: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 physician or other health care provider authorized under the laws of this state to administer the drug, including when acting under a physician's delegation and supervision;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physician's office, hospital outpatient infusion center, or other clinical setting.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provider" means an individual who is licensed, certified, or otherwise authorized to provide health care services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 benefit manager"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4151.151.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an individual licensed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1369.602.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provided by or through a church benefits board under Subchapter I, Chapter 22,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operating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does not apply to an issuer or provider of health benefits under or a pharmacy benefit manager administering pharmacy benefits under a workers' compensation insurance policy or other form of providing medical benefits under Title 5,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1369.603.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LIMITATIONS RELATED TO CLINICIAN-ADMINISTERED DRUGS PROHIBITED.  (a) A health benefit plan issuer or pharmacy benefit manager may not, for a patient with a cancer or cancer-related diagnosis: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 clinician-administered drug to be dispensed by a pharmacy, including by an affiliated provider;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that a clinician-administered drug or the administration of a clinician-administered drug be covered as a pharmacy benefit rather than a medical benefit.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Nothing in this section may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a person to administer a drug when otherwise prohibited under the laws of this state or federal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modify drug administration requirements under the laws of this state, including any requirements related to delegation and supervision of drug administration.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1369.555(a) and (b), Insurance Code, as added by this Act, apply only to a health benefit plan delivered, issued for delivery,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M, Chapter 1369,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