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87R6589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modernization of correctional facilities operated by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495.001(a),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may contract with a private vendor or with the commissioners court of a county for the financing, construction, operation, maintenance, or management of a secure correctional facility</w:t>
      </w:r>
      <w:r>
        <w:rPr>
          <w:u w:val="single"/>
        </w:rPr>
        <w:t xml:space="preserve">, including entering into a contract with a private vendor under which the vendor will construct the facility and lease the facility to the board for use by the department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"Board" means the Texas Board of Criminal Justice.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"Build-to-lease contract" means a contract between the board and a private vendor under which the private vendor constructs a secure correctional facility and leases the facility to the board for use by the department.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"Department" means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conduct a study to identify changes needed to modernize the correctional facilities operated by the department. </w:t>
      </w:r>
      <w:r>
        <w:t xml:space="preserve"> </w:t>
      </w:r>
      <w:r>
        <w:t xml:space="preserve">In conducting the study, the department shall consider: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any change or method that would modernize a facility, including any change or method that would result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decreased deferred maintenance costs;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improved energy efficiency;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efficient use of staff and other resources;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increased availability of funds to be used by the department to: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provide criminal justice programs;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pay the costs of health care provided to inmates;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increase compensation to correctional officers;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use of build-to-lease contracts for any new facilities necessary to meet the department's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January 1, 2022, the board and the department, as applicable, shall begin to implement any changes identified under Subsection (b) to modernize the department's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Notwithstanding any other law, any facility constructed under a build-to-lease contract and the contract, as applicable, must comply with the following requirements: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contract must require the private vendor to maintain the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department must retain control over the operational aspects of the facility, including security, health care for inmates, and food service;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construction of the facility, after accounting for any repurposing of existing facilities for non-correctional uses, may not result in an increase in the total maximum capacity of all facilities operated by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facility must comply with the American Correctional Association standards for secure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design of the facility must: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enhance the health and safety of correctional officers, staff members, and inmates in the facility;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facilitate the rehabilitation and reintegration of inmates;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be consistent with any applicable provision in Subtitle G, Title 4, Government Code, including any provision regarding incarcerated women;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department and the private vendor shall consider the use of inmate labor for the purpose of allowing the inmates to gain employment skills and earn a wage;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if the board determines it necessary to name a facility constructed under this section, the name of the facility must commemorate a resident of this state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died as a result of a personal injury sustained in the line of duty as a correctional officer;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made significant contributions to the public safety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conducting the study and implementing the changes identified in the study, the board and the department, as applicable, shall consult with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Correctional Managed Health Care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Windham School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chaplain under contract with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correctional officers;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social scientists with specializations in corrections;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relevant stakeholder as determined by the board or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governor shall establish the Texas Prison Repurposing Commission to evaluate existing facilities operated by the department and provide advice and recommendations to the board regarding which facilities should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retained and renovated or repurposed for continued use by the department;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repurposed for use by another state agency or the private sector.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 appointing members to the Texas Prison Repurposing Commission, the governor shall ensure the commission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members of the legislature;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representatives of counties and municipalities;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members of the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 of this Act expires January 1, 2027.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