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87R5196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and report by the comptroller on local and state supply chain disruptions caused by the COVID-19 pandemic.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DEFINITION.  In this Act, "COVID-19" means the 2019 novel coronavirus disease.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STUDY.  (a)  The comptroller of public accounts shall conduct a study to identify and evaluate local and state supply chain disruptions caused by the COVID-19 pandemic.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conducting the study, the comptroller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assess the overall cost to this state of local and state supply chain disruptions caused by the COVID-19 pandemic;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determine the number of jobs affected by local and state supply chain disruptions caused by the COVID-19 pandemic;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determine which industries were most affected by local and state supply chain disruptions caused by the COVID-19 pandemic;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recommend policies and procedures for maintaining effective supply chains in future health and economic crises.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REPORT.  Not later than September 1, 2022, the comptroller shall prepare and submit to the governor and the legislature a report containing the results of the study and any recommendations for legislative or other action to aid in this state's recovery from the COVID-19 pandemic and prepare for future health and economic crises.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