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87R6489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extension of water or sewer service by certain retail public utilities at the request of a developer.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13.2502, Water Code, is amended to read as follows:</w:t>
      </w:r>
    </w:p>
    <w:p w:rsidR="003F3435" w:rsidRDefault="0032493E">
      <w:pPr>
        <w:spacing w:line="480" w:lineRule="auto"/>
        <w:ind w:firstLine="720"/>
        <w:jc w:val="both"/>
      </w:pPr>
      <w:r>
        <w:t xml:space="preserve">Sec.</w:t>
      </w:r>
      <w:r xml:space="preserve">
        <w:t> </w:t>
      </w:r>
      <w:r>
        <w:t xml:space="preserve">13.2502.</w:t>
      </w:r>
      <w:r xml:space="preserve">
        <w:t> </w:t>
      </w:r>
      <w:r xml:space="preserve">
        <w:t> </w:t>
      </w:r>
      <w:r>
        <w:rPr>
          <w:u w:val="single"/>
        </w:rPr>
        <w:t xml:space="preserve">CERTAIN</w:t>
      </w:r>
      <w:r>
        <w:t xml:space="preserve"> SERVICE EXTENSIONS BY WATER SUPPLY AND SEWER SERVICE CORPORATION OR SPECIAL UTILITY DISTRICT </w:t>
      </w:r>
      <w:r>
        <w:rPr>
          <w:u w:val="single"/>
        </w:rPr>
        <w:t xml:space="preserve">NOT REQUIRED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13, Water Code, is amended by adding Section 13.2503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13.2503.</w:t>
      </w:r>
      <w:r>
        <w:rPr>
          <w:u w:val="single"/>
        </w:rPr>
        <w:t xml:space="preserve"> </w:t>
      </w:r>
      <w:r>
        <w:rPr>
          <w:u w:val="single"/>
        </w:rPr>
        <w:t xml:space="preserve"> </w:t>
      </w:r>
      <w:r>
        <w:rPr>
          <w:u w:val="single"/>
        </w:rPr>
        <w:t xml:space="preserve">DETERMINATION BEFORE SERVICE EXTENSION BY WATER SUPPLY AND SEWER SERVICE CORPORATION OR SPECIAL UTILITY DISTRICT.  (a)  In this section, "developer" means a person who subdivides land or requests more than two water or sewer service connections on a single contiguous tract of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water supply or sewer service corporation or a special utility district organized under Chapter 65 that receives a request from a developer for an extension of retail water or sewer utility service for subdivided land or for more than two service connections within the certificated area of the corporation or district shall provide to the developer, not later than the 90th day after the date the request is received, a written statement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corporation or district is capable of providing the service requested in the time frame requested;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infrastructure the developer is required by the service extension policy to supply in order to accommodate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corporation or district will use the infrastructure described by Subdivision (2) solely to provide service in the requested area;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engineering details supporting the infrastructure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who makes a request described by Subsection (b) may petition the utility commission requesting a determination under this section if the corporation or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refused to extend service to the requested area based on a conclusion that the developer has failed to comply with the service extension policy of the corporation or district as set forth in the tariff of the corporation or the policies of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provide the developer with the information required by Subsection (b) before the 90th day after the date the request was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developer must demonstrate in a petition authorized under Subsection (c) that the developer's request for service was in writing and identified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area where service was requested;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time frame in which service was requested to begin;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level and manner of service needed for current and projected service demands in the area.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water supply or sewer service corporation or a special utility district organized under Chapter 65 that receives a request described by Subsection (b) may petition the utility commission requesting a determination under this section if the corporation or district concludes that the developer refuses to comply with the service extension policy of the corporation or district as set forth in the tariff of the corporation or the policies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or district must demonstrate in a petition authorized under Subsection (e) that the corporation or district has complied with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utility commission receives a petition for a determination under this section, the utility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developer and the corporation or district to submit to the utility commission information necessary for the utility commission to evaluate whether the service extension policy of the corporation or district is reasonable as applied to the developer;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an informal hearing on the petition.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the 90th day after the date the petition is submitted to the utility commission, the utility commission shall issue an order determining the requirements the developer must comply with in order to receive the requested service.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2001, Government Code, does not apply to a petition filed under this section.  The decision of the utility commission on the petition is final after any reconsideration authorized by the utility commission's rules and may not be appealed.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