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87R12899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Dallas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1939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appraiser" 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an action for fraud or breach of contract, 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