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an action for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