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87R6427 AJZ/AJA-D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Howard</w:t>
      </w:r>
      <w:r xml:space="preserve">
        <w:tab wTab="150" tlc="none" cTlc="0"/>
      </w:r>
      <w:r>
        <w:t xml:space="preserve">H.B.</w:t>
      </w:r>
      <w:r xml:space="preserve">
        <w:t> </w:t>
      </w:r>
      <w:r>
        <w:t xml:space="preserve">No.</w:t>
      </w:r>
      <w:r xml:space="preserve">
        <w:t> </w:t>
      </w:r>
      <w:r>
        <w:t xml:space="preserve">1948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duties of the Department of Public Safety and licensed firearms dealers with respect to the possession or use of a suspended or revoked license to carry a handgun.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H, Chapter 411, Government Code, is amended by adding Section 411.1805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411.1805.</w:t>
      </w:r>
      <w:r>
        <w:rPr>
          <w:u w:val="single"/>
        </w:rPr>
        <w:t xml:space="preserve"> </w:t>
      </w:r>
      <w:r>
        <w:rPr>
          <w:u w:val="single"/>
        </w:rPr>
        <w:t xml:space="preserve"> </w:t>
      </w:r>
      <w:r>
        <w:rPr>
          <w:u w:val="single"/>
        </w:rPr>
        <w:t xml:space="preserve">LIST OF SUSPENDED AND REVOKED LICENSES.  (a) </w:t>
      </w:r>
      <w:r>
        <w:rPr>
          <w:u w:val="single"/>
        </w:rPr>
        <w:t xml:space="preserve"> </w:t>
      </w:r>
      <w:r>
        <w:rPr>
          <w:u w:val="single"/>
        </w:rPr>
        <w:t xml:space="preserve">The department shall maintain a current list of license numbers with respect to each unexpired license to carry a handgun that is suspended or revoked under this subchapter.</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shall post the list of license numbers on the department's Internet website.  The department may not include any information that would otherwise identify the person to whom the license was issued.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shall establish and operate a dedicated telephone line that enables licensed firearms dealers to call to verify whether an unexpired license to carry a handgun has been suspended or revoked, as indicated on the list established by the department under this section. </w:t>
      </w:r>
      <w:r>
        <w:rPr>
          <w:u w:val="single"/>
        </w:rPr>
        <w:t xml:space="preserve"> </w:t>
      </w:r>
      <w:r>
        <w:rPr>
          <w:u w:val="single"/>
        </w:rPr>
        <w:t xml:space="preserve">The telephone line must be continuously monitored by the department during its regular business hours.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department shall remove the number of a suspended license from the list under this section not later than the fifth working day after the applicable period of suspension ends.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a revoked license is reinstated, the department shall remove the number of that license from the list under this section not later than the fifth working day after the reinstatement occurs.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department shall remove a number of a suspended or revoked license from the list under this section not later than the fifth working day after the license's expiration date.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director may adopt rules to implement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411, Government Code, is amended by adding Subchapter H-1 to read as follows:</w:t>
      </w:r>
    </w:p>
    <w:p w:rsidR="003F3435" w:rsidRDefault="0032493E">
      <w:pPr>
        <w:spacing w:line="480" w:lineRule="auto"/>
        <w:jc w:val="center"/>
      </w:pPr>
      <w:r>
        <w:rPr>
          <w:u w:val="single"/>
        </w:rPr>
        <w:t xml:space="preserve">SUBCHAPTER H-1. REQUIREMENTS FOR CERTAIN FIREARM TRANSFERS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411.221.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"License" means a license to carry a handgun issued under Subchapter H.</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"Licensed firearms dealer" means a person who is licensed as a firearms dealer under 18 U.S.C. Section 923.</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411.222.</w:t>
      </w:r>
      <w:r>
        <w:rPr>
          <w:u w:val="single"/>
        </w:rPr>
        <w:t xml:space="preserve"> </w:t>
      </w:r>
      <w:r>
        <w:rPr>
          <w:u w:val="single"/>
        </w:rPr>
        <w:t xml:space="preserve"> </w:t>
      </w:r>
      <w:r>
        <w:rPr>
          <w:u w:val="single"/>
        </w:rPr>
        <w:t xml:space="preserve">REQUIREMENTS FOR CERTAIN FIREARM TRANSFERS.  (a) A licensed firearms dealer may not sell or otherwise transfer a firearm to a person who presents an apparently valid unexpired license as evidence that the person is not prohibited by state or federal law from possessing a firearm unless the dealer first verifies that the license is not currently suspended or revoked.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licensed firearms dealer may verify the status of the person's license under Subsection (a) either by direct communication with the department or by referencing the list of suspended or revoked licenses that is maintained on the department's Internet website under Section 411.1805.</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licensed firearms dealer determines under Subsection (a) that the license is suspended or revoked, the dealer: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may not consider the fact that the person previously held a valid license and the fact that the person no longer holds a valid license in determining whether transferring a firearm to that person is prohibited by state or federal law;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not later than the fifth working day after the date of the determination, shall notify the department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during the applicable transaction, the person presented a license to the dealer in lieu of submitting to the national instant criminal background check in accordance with 18 U.S.C. Section 922;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license was suspended or revoked.</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411.223.</w:t>
      </w:r>
      <w:r>
        <w:rPr>
          <w:u w:val="single"/>
        </w:rPr>
        <w:t xml:space="preserve"> </w:t>
      </w:r>
      <w:r>
        <w:rPr>
          <w:u w:val="single"/>
        </w:rPr>
        <w:t xml:space="preserve"> </w:t>
      </w:r>
      <w:r>
        <w:rPr>
          <w:u w:val="single"/>
        </w:rPr>
        <w:t xml:space="preserve">CIVIL LIABILITY.  A licensed firearms dealer who sells or otherwise transfers a firearm in violation of Section 411.222 is liable for damages arising from bodily injury or death proximately caused by the discharge of the firearm by the person to whom the firearm was sold or transferred.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Department of Public Safety shall establish the list required under Section 411.1805, Government Code, as added by this Act, and publish the list on the department's Internet website not later than January 1, 2022.</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H-1, Chapter 411, Government Code, as added by this Act, applies only to a firearm transfer that occurs on or after January 1, 2022.</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1948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