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87R16451 MCF-F</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Kuempel, Thompson of Harris,</w:t>
      </w:r>
      <w:r xml:space="preserve">
        <w:tab wTab="150" tlc="none" cTlc="0"/>
      </w:r>
      <w:r>
        <w:t xml:space="preserve">H.B.</w:t>
      </w:r>
      <w:r xml:space="preserve">
        <w:t> </w:t>
      </w:r>
      <w:r>
        <w:t xml:space="preserve">No.</w:t>
      </w:r>
      <w:r xml:space="preserve">
        <w:t> </w:t>
      </w:r>
      <w:r>
        <w:t xml:space="preserve">1957</w:t>
      </w:r>
    </w:p>
    <w:p w:rsidR="003F3435" w:rsidRDefault="0032493E">
      <w:pPr>
        <w:jc w:val="both"/>
      </w:pPr>
      <w:r xml:space="preserve">
        <w:t> </w:t>
      </w:r>
      <w:r xml:space="preserve">
        <w:t> </w:t>
      </w:r>
      <w:r xml:space="preserve">
        <w:t> </w:t>
      </w:r>
      <w:r xml:space="preserve">
        <w:t> </w:t>
      </w:r>
      <w:r xml:space="preserve">
        <w:t> </w:t>
      </w:r>
      <w:r>
        <w:t xml:space="preserve">King of Uvalde</w:t>
      </w:r>
    </w:p>
    <w:p w:rsidR="003F3435" w:rsidRDefault="0032493E">
      <w:pPr>
        <w:spacing w:before="240" w:line="480" w:lineRule="auto"/>
        <w:jc w:val="both"/>
      </w:pPr>
      <w:r>
        <w:t xml:space="preserve">Substitute the following for</w:t>
      </w:r>
      <w:r xml:space="preserve">
        <w:t> </w:t>
      </w:r>
      <w:r>
        <w:t xml:space="preserve">H.B.</w:t>
      </w:r>
      <w:r xml:space="preserve">
        <w:t> </w:t>
      </w:r>
      <w:r>
        <w:t xml:space="preserve">No.</w:t>
      </w:r>
      <w:r xml:space="preserve">
        <w:t> </w:t>
      </w:r>
      <w:r>
        <w:t xml:space="preserve">1957:</w:t>
      </w:r>
    </w:p>
    <w:p w:rsidR="003F3435" w:rsidRDefault="0032493E">
      <w:pPr>
        <w:spacing w:line="480" w:lineRule="auto"/>
        <w:jc w:val="both"/>
        <w:tabs>
          <w:tab w:val="right" w:leader="none" w:pos="9350"/>
        </w:tabs>
      </w:pPr>
      <w:r>
        <w:t xml:space="preserve">By:</w:t>
      </w:r>
      <w:r xml:space="preserve">
        <w:t> </w:t>
      </w:r>
      <w:r xml:space="preserve">
        <w:t> </w:t>
      </w:r>
      <w:r>
        <w:t xml:space="preserve">Fierro</w:t>
      </w:r>
      <w:r xml:space="preserve">
        <w:tab wTab="150" tlc="none" cTlc="0"/>
      </w:r>
      <w:r>
        <w:t xml:space="preserve">C.S.H.B.</w:t>
      </w:r>
      <w:r xml:space="preserve">
        <w:t> </w:t>
      </w:r>
      <w:r>
        <w:t xml:space="preserve">No.</w:t>
      </w:r>
      <w:r xml:space="preserve">
        <w:t> </w:t>
      </w:r>
      <w:r>
        <w:t xml:space="preserve">1957</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labeling of wine as originating from an area of this state or with the name of a vineyard in this state.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D, Chapter 101, Alcoholic Beverage Code, is amended by adding Section 101.673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101.673.</w:t>
      </w:r>
      <w:r>
        <w:rPr>
          <w:u w:val="single"/>
        </w:rPr>
        <w:t xml:space="preserve"> </w:t>
      </w:r>
      <w:r>
        <w:rPr>
          <w:u w:val="single"/>
        </w:rPr>
        <w:t xml:space="preserve"> </w:t>
      </w:r>
      <w:r>
        <w:rPr>
          <w:u w:val="single"/>
        </w:rPr>
        <w:t xml:space="preserve">USE OF AMERICAN VITICULTURAL AREA, COUNTY, OR VINEYARD ON WINE LABEL.  (a)  In this section, "American viticultural area" has the meaning assigned by 27 C.F.R. Section 4.25.</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wine that is otherwise entitled under federal law to an appellation of origin indicating the wine's origin is an American viticultural area or county located in this state may use that appellation only if the wine is 100 percent by volume fermented juice of grapes or other fruit grown in this state.</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A wine that is otherwise entitled under federal law to use the name of a specific vineyard in this state on the wine's label may use the name of the vineyard on the label only if the wine is 100 percent by volume fermented juice of grapes or other fruit grown in this state.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applies only to a wine made from grapes or other fruit harvested on or after January 1, 2022.</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2021.</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C.S.H.B.</w:t>
    </w:r>
    <w:r xml:space="preserve">
      <w:t> </w:t>
    </w:r>
    <w:r>
      <w:t xml:space="preserve">No.</w:t>
    </w:r>
    <w:r xml:space="preserve">
      <w:t> </w:t>
    </w:r>
    <w:r>
      <w:t xml:space="preserve">1957</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