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1957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May</w:t>
      </w:r>
      <w:r xml:space="preserve">
        <w:t> </w:t>
      </w:r>
      <w:r>
        <w:t xml:space="preserve">6,</w:t>
      </w:r>
      <w:r xml:space="preserve">
        <w:t> </w:t>
      </w:r>
      <w:r>
        <w:t xml:space="preserve">2021, read first time and referred to Committee on Business &amp; Commerce; May</w:t>
      </w:r>
      <w:r xml:space="preserve">
        <w:t> </w:t>
      </w:r>
      <w:r>
        <w:t xml:space="preserve">12,</w:t>
      </w:r>
      <w:r xml:space="preserve">
        <w:t> </w:t>
      </w:r>
      <w:r>
        <w:t xml:space="preserve">2021, reported favorably by the following vote:</w:t>
      </w:r>
      <w:r>
        <w:t xml:space="preserve"> </w:t>
      </w:r>
      <w:r>
        <w:t xml:space="preserve"> </w:t>
      </w:r>
      <w:r>
        <w:t xml:space="preserve">Yeas 6, Nays 0; May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labeling of wine as originating from an area of this state or with the name of a vineyard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101, Alcoholic Beverage Code, is amended by adding Section 101.673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101.673.</w:t>
      </w:r>
      <w:r>
        <w:rPr>
          <w:u w:val="single"/>
        </w:rPr>
        <w:t xml:space="preserve"> </w:t>
      </w:r>
      <w:r>
        <w:rPr>
          <w:u w:val="single"/>
        </w:rPr>
        <w:t xml:space="preserve"> </w:t>
      </w:r>
      <w:r>
        <w:rPr>
          <w:u w:val="single"/>
        </w:rPr>
        <w:t xml:space="preserve">USE OF AMERICAN VITICULTURAL AREA, COUNTY, OR VINEYARD ON WINE LABEL.  (a)  In this section, "American viticultural area" has the meaning assigned by 27 C.F.R. Section 4.25.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wine that is otherwise entitled under federal law to an appellation of origin indicating the wine's origin is an American viticultural area or county located in this state may use that appellation only if the wine is 100 percent by volume fermented juice of grapes or other fruit grown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wine that is otherwise entitled under federal law to use the name of a specific vineyard in this state on the wine's label may use the name of the vineyard on the label only if the wine is 100 percent by volume fermented juice of grapes or other fruit grown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wine made from grapes or other fruit harvested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