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short-term rental units; authorizing a civil penalty; limiting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7, Local Government Code, is amended by adding Chapter 219 to read as follows:</w:t>
      </w:r>
    </w:p>
    <w:p w:rsidR="003F3435" w:rsidRDefault="0032493E">
      <w:pPr>
        <w:spacing w:line="480" w:lineRule="auto"/>
        <w:jc w:val="center"/>
      </w:pPr>
      <w:r>
        <w:rPr>
          <w:u w:val="single"/>
        </w:rPr>
        <w:t xml:space="preserve">CHAPTER 219. REGULATION OF SHORT-TERM RENTAL UNITS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"Short-term rental unit" means a dwelling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or designed to be used as the home of a person, family, or household, including a single-family dwelling or a unit in a multi-unit building, including an apartment, condominium, cooperative, or timeshare;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rented wholly or partly for a fee and for a period of less than 30 consecutive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unit listing service" means a person who facilitates, including by listing short-term rental units on an Internet website, the rental of a short-term rental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219.0002.</w:t>
      </w:r>
      <w:r>
        <w:rPr>
          <w:u w:val="single"/>
        </w:rPr>
        <w:t xml:space="preserve"> </w:t>
      </w:r>
      <w:r>
        <w:rPr>
          <w:u w:val="single"/>
        </w:rPr>
        <w:t xml:space="preserve"> </w:t>
      </w:r>
      <w:r>
        <w:rPr>
          <w:u w:val="single"/>
        </w:rPr>
        <w:t xml:space="preserve">AUTHORIZED MUNICIPAL LAWS.  (a) A municipality may adopt an ordinance regulating short-term rental units in accordance with this chapter, including an ordinance that prohibits: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the unit to promote activities that are illegal under municipal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or management of the unit by a registered sex offender or any person having been convicted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serving of food to a tenant unless the serving of food at the unit is otherwise authorized by municipal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rental of the unit to a person younger than 18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rental of the unit for less than 24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regard to a short-term rental unit, a municipality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unit provider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and be issued a permit before renting the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 emergency contact responsible for responding to complaints regarding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the unit inspected on an annual basis by the local building code department or fire marshal, as applicable, to verify that the unit meets state and municipal requirements;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post the number of a permit issued by the municipality for the unit on every listing advertising the unit on a short-term rental unit listing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 provider or property manager on the provider's behalf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property and liability insurance for the unit in an amount equal to or greater than the amount required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proof that each short-term rental unit listing service that lists the unit is maintaining property and liability insurance for the unit in an amount equal to or greater than the amount required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219.0003.</w:t>
      </w:r>
      <w:r>
        <w:rPr>
          <w:u w:val="single"/>
        </w:rPr>
        <w:t xml:space="preserve"> </w:t>
      </w:r>
      <w:r>
        <w:rPr>
          <w:u w:val="single"/>
        </w:rPr>
        <w:t xml:space="preserve"> </w:t>
      </w:r>
      <w:r>
        <w:rPr>
          <w:u w:val="single"/>
        </w:rPr>
        <w:t xml:space="preserve">MAXIMUM OCCUPANCY LIMITS.  (a) In this section, "bedroom" means an area of a residential dwelling intended and used as sleeping quarters. The term does not include a kitchen, dining room, bathroom, living room, utility room, closet, or storage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limit the maximum occupancy of individuals 18 years of age or older in a unit to a number that is not less than two individuals multiplied by the number of bedrooms in the unit plus two additional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219.0004.</w:t>
      </w:r>
      <w:r>
        <w:rPr>
          <w:u w:val="single"/>
        </w:rPr>
        <w:t xml:space="preserve"> </w:t>
      </w:r>
      <w:r>
        <w:rPr>
          <w:u w:val="single"/>
        </w:rPr>
        <w:t xml:space="preserve"> </w:t>
      </w:r>
      <w:r>
        <w:rPr>
          <w:u w:val="single"/>
        </w:rPr>
        <w:t xml:space="preserve">PROHIBITED MUNICIPAL LAWS.  Except as provided by this chapter, 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an ordinance, rule, or other measure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or limits the use of property as a short-term rental unit;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applicable solely to short-term rental units, or short-term rental unit providers, short-term rental unit tenants, or other persons associated with short-term rental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a municipal law, including a noise restriction, parking requirement, or building code requirement, or other law to short-term rental units or short-term rental unit providers, short-term rental unit tenants, or other persons associated with short-term rental units in a manner that is more restrictive or otherwise inconsistent with the application of the law to other similarly situated property or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219.0005.</w:t>
      </w:r>
      <w:r>
        <w:rPr>
          <w:u w:val="single"/>
        </w:rPr>
        <w:t xml:space="preserve"> </w:t>
      </w:r>
      <w:r>
        <w:rPr>
          <w:u w:val="single"/>
        </w:rPr>
        <w:t xml:space="preserve"> </w:t>
      </w:r>
      <w:r>
        <w:rPr>
          <w:u w:val="single"/>
        </w:rPr>
        <w:t xml:space="preserve">LIMITATIONS ON REGISTRATION REQUIREMENTS.  (a) A municipality that adopts a registration requirement under Section 219.0002(b)(1)(A):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approve or deny a registration application not later than the 45th calendar day after the date the municipality receives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municipality approves a registration application, shall issue a permit valid for at least one year following the date of the issuance of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suspend a permit issued under this section only in accordance with Section 219.0006;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charge a registration fee in an amount greater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to cover the administrative costs of enforcing the registration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require the short-term rental unit provider to affirm that the unit does not violate any rules or bylaws of any condominium, cooperative, property owners' association, or other similar entity that has jurisdiction over the property in which the unit is located;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maintain an Internet website or telephone hotline that enables a member of the public to file a complaint regarding a short-term rental unit;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deny renewal of a permit if the short-term rental unit provider did not provide the municipality with a renewal application before midnight on the date in which the permit expires;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may prohibit transfer of registration permits;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may not restrict the number of permits issued for short-term rental units, including units in multi-family dwellings, located in a commercial area or another area outside of a residential area of the municipality regardless of whether a unit is the primary residence of the unit owner;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may not restrict the number of permits issued for short-term rental units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within a residential area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primary residence of the unit owner;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may place a reasonable density restriction or reasonable per capita percentage restriction on the number of permits issued for short-term rental units that are located in a residential area and not the primary residence of the owner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finds that active enforcement of the municipality's noise restrictions, parking requirements, building code requirements, or other laws is insufficient to protect the health and safety of municipal residents in the residential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prohibit more than 12.5 percent of the total number of residential properties in the municipality from being eligible for a permit;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applies the restriction uniformly across the entire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fails to approve or deny a registration application in accordance with Subsection (a)(1), the registration is considered approved.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requirement adopted by a municipality that is more stringent than requirements in effect immediately before the new requirement takes effect applies only to a permit issued or renewed on or after the effective date of the new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219.0006.</w:t>
      </w:r>
      <w:r>
        <w:rPr>
          <w:u w:val="single"/>
        </w:rPr>
        <w:t xml:space="preserve"> </w:t>
      </w:r>
      <w:r>
        <w:rPr>
          <w:u w:val="single"/>
        </w:rPr>
        <w:t xml:space="preserve"> </w:t>
      </w:r>
      <w:r>
        <w:rPr>
          <w:u w:val="single"/>
        </w:rPr>
        <w:t xml:space="preserve">ENFORCEMENT OF REGISTRATION LAWS; CIVIL PENALTY.  (a) </w:t>
      </w:r>
      <w:r>
        <w:rPr>
          <w:u w:val="single"/>
        </w:rPr>
        <w:t xml:space="preserve"> A municipality may suspend the registration of a short-term rental unit for a period not to exceed one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direct result of the operation of the unit, the unit has been in violation of a municipal law related to noise, parking, or habitability standards at least three times during one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is delinquent in the remittance of a local hotel occupancy tax by more than 90 days and the municipality has provided sufficient notice and opportunity for the provider to remit the tax;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 provider is in violation of a municipal requirement enacted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revoke a permit issued for a short-term rental unit that has been the subject of repeated violations of municipal requirements enacted in accordance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suspend or revoke a permit under Subsection (a)(1) or (b), the municipality has the burden of proof of demonstrating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violation was a direct result of the short-term rental unit's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failed to make reasonable attempts to abate the violation or violations,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in addition to any penalty provided for an underlying offense or violation, a municipality may assess a civil penalty against a unit provider not to exceed $200 per day for a violation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short-term rental unit provider knowingly tolerates a violation of this chapter, fails to make reasonable attempts to abate a violation, and has violated a municipal law related to unsanitary conditions, noise, over-occupancy, parking, or solid waste five times or more in a calendar year, the municipality may assess a civil penalty against the unit provider in an amount not to exceed $2,000 per day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219.0007.</w:t>
      </w:r>
      <w:r>
        <w:rPr>
          <w:u w:val="single"/>
        </w:rPr>
        <w:t xml:space="preserve"> </w:t>
      </w:r>
      <w:r>
        <w:rPr>
          <w:u w:val="single"/>
        </w:rPr>
        <w:t xml:space="preserve"> </w:t>
      </w:r>
      <w:r>
        <w:rPr>
          <w:u w:val="single"/>
        </w:rPr>
        <w:t xml:space="preserve">SHORT-TERM RENTAL UNIT LISTING SERVICE REQUIREMENTS.  (a)  A short-term rental unit listing service may not list a short-term rental unit that does not hold a permit in violation of a municipal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revokes a short-term rental unit permit may notify a short-term rental unit listing service of the revocation for the service to comply with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219.0008.</w:t>
      </w:r>
      <w:r>
        <w:rPr>
          <w:u w:val="single"/>
        </w:rPr>
        <w:t xml:space="preserve"> </w:t>
      </w:r>
      <w:r>
        <w:rPr>
          <w:u w:val="single"/>
        </w:rPr>
        <w:t xml:space="preserve"> </w:t>
      </w:r>
      <w:r>
        <w:rPr>
          <w:u w:val="single"/>
        </w:rPr>
        <w:t xml:space="preserve">STATEWIDE DATABASE.  (a)  The comptroller shall establish and maintain a statewide database of all municipalities that have adopted short-term rental unit ordinances. The comptroller shall publish the database on the comptroller's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adopts a short-term rental unit ordinance shall notify the comptroller of the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219.0009.</w:t>
      </w:r>
      <w:r>
        <w:rPr>
          <w:u w:val="single"/>
        </w:rPr>
        <w:t xml:space="preserve"> </w:t>
      </w:r>
      <w:r>
        <w:rPr>
          <w:u w:val="single"/>
        </w:rPr>
        <w:t xml:space="preserve"> </w:t>
      </w:r>
      <w:r>
        <w:rPr>
          <w:u w:val="single"/>
        </w:rPr>
        <w:t xml:space="preserve">CONSTRUCTION OF CHAPTER.  (a)  This chapter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condominium, cooperative, property owners' association, or other similar entity from prohibiting or otherwise restricting an owner of property within the entity's jurisdiction from using the property as a short-term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lessor, through the terms of a lease agreement, from restricting the use of the leased property as a short-term rental unit;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owner from placing a restrictive covenant or easement on the property that restricts the future use of the property as a short-term rental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municipality to regulate a short-term rental unit but does require a municipality that elects to regulate a unit to comply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prohibit a municipality from contracting with a third party to provide services that assist in ensuring compliance with municipal requirements imposed in accordance with this chapter. The third party may be a short-term rental unit listing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156.151,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facilitates a short-term rental as defined by Section 156.001(b) but does not collect the tax imposed by this chapter on the short-term rental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physical address of the property rented;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of the owner of the property rented;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of the rental;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paid for the rental if the person facilitated payment for the rental;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listing price for the rental if the person listed a price for the rental;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under Subsection (d) is due on or before the 20th day of the month following the month in which the last day of the short-term rental occurred. The comptroller may prescribe the form for a report under Subsection (d), including a method for making a combined report of all rentals facilitated by a person. The comptroller shall make information obtained from a report under Subsection (d) available to a municipality or county that imposes a hotel occupancy tax on the short-term rental described by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