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Canales</w:t>
      </w:r>
      <w:r xml:space="preserve">
        <w:tab wTab="150" tlc="none" cTlc="0"/>
      </w:r>
      <w:r>
        <w:t xml:space="preserve">H.B.</w:t>
      </w:r>
      <w:r xml:space="preserve">
        <w:t> </w:t>
      </w:r>
      <w:r>
        <w:t xml:space="preserve">No.</w:t>
      </w:r>
      <w:r xml:space="preserve">
        <w:t> </w:t>
      </w:r>
      <w:r>
        <w:t xml:space="preserve">1973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investigation of municipal fire fighters.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614, Government Code, is amended by adding Section 614.024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614.024.</w:t>
      </w:r>
      <w:r>
        <w:rPr>
          <w:u w:val="single"/>
        </w:rPr>
        <w:t xml:space="preserve"> </w:t>
      </w:r>
      <w:r>
        <w:rPr>
          <w:u w:val="single"/>
        </w:rPr>
        <w:t xml:space="preserve"> </w:t>
      </w:r>
      <w:r>
        <w:rPr>
          <w:u w:val="single"/>
        </w:rPr>
        <w:t xml:space="preserve">INVESTIGATION OF MUNICIPAL FIRE FIGHTERS REQUIRED.  (a)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"Fire fighter" means a paid employee of a municipal fire department.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"Investigation" means an administrative investigation conducted by a municipality of alleged misconduct by a fire fighter that could result in punitive action against the fire fighter.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"Punitive action" means a disciplinary suspension, indefinite suspension, demotion in rank, reprimand, or any combination of those actions.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Section 614.021(b), this section applies to a fire fighter employed by a municipality regardless of whether the municipality is covered by a meet and confer or collective bargaining agreement under Chapter 143 or 174, Local Government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addition to the requirements of Section 614.023, a municipality may not take punitive action against a fire fighter unless an investigation has been conducted in accordance with Section 143.123 or 143.312, Local Government Code, or other applicable law.</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municipality to which Section 143.123 or 143.312, Local Government Code, or another substantially similar investigation requirement does not apply shall adopt and comply with procedures substantially identical to those required by Section 143.312, Local Government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614.023(a), Government Code, is amended to read as follows:</w:t>
      </w:r>
    </w:p>
    <w:p w:rsidR="003F3435" w:rsidRDefault="0032493E">
      <w:pPr>
        <w:spacing w:line="480" w:lineRule="auto"/>
        <w:ind w:firstLine="720"/>
        <w:jc w:val="both"/>
      </w:pPr>
      <w:r>
        <w:t xml:space="preserve">(a)</w:t>
      </w:r>
      <w:r xml:space="preserve">
        <w:t> </w:t>
      </w:r>
      <w:r xml:space="preserve">
        <w:t> </w:t>
      </w:r>
      <w:r>
        <w:t xml:space="preserve">A copy of a signed complaint against a law enforcement officer of this state or a fire fighter, detention officer, county jailer, or peace officer appointed or employed by a political subdivision of this state shall be given to the officer or employee</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within a reasonable time after the complaint is filed</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a municipal fire fighter, in accordance with procedures adopted under Section 614.024(d)</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614.024, Government Code, as added by this Act, applies only to an investigation, as that term is defined by that section, initiated by a municipality on or after the effective date of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1973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