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87R5533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publication by the Railroad Commission of Texas of certain information regarding natural gas flaring.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B, Chapter 88, Natural Resources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B. </w:t>
      </w:r>
      <w:r>
        <w:t xml:space="preserve"> </w:t>
      </w:r>
      <w:r>
        <w:t xml:space="preserve">RULES </w:t>
      </w:r>
      <w:r>
        <w:rPr>
          <w:u w:val="single"/>
        </w:rPr>
        <w:t xml:space="preserve">AND INFORMATION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88, Natural Resources Code, is amended by adding Section 88.014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88.014.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PUBLICATION OF FLARING INFORMATION.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"flaring intensity" means the amount of natural gas flared per barrel of oil produced.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a monthly basis, the commission shall publish on the commission's Internet website: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names of the operators who report the highest 20 levels of flaring;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operator named in Subdivision (1) the level of flaring and flaring intensity.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base information published under this section on the most current and comprehensive information available to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