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87R18696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1981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by the comptroller of unclaimed property to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74.501, Property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and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or</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 and 201.002, Estates Code; or</w:t>
      </w:r>
    </w:p>
    <w:p w:rsidR="003F3435" w:rsidRDefault="0032493E">
      <w:pPr>
        <w:spacing w:line="480" w:lineRule="auto"/>
        <w:ind w:firstLine="2160"/>
        <w:jc w:val="both"/>
      </w:pPr>
      <w:r>
        <w:t xml:space="preserve">(B)</w:t>
      </w:r>
      <w:r xml:space="preserve">
        <w:t> </w:t>
      </w:r>
      <w:r xml:space="preserve">
        <w:t> </w:t>
      </w:r>
      <w:r>
        <w:t xml:space="preserve">the court-appointed administrator of the owner's estate, if the administrator was appointed before the fourth anniversary of the date of the death of the owner;</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an affidavit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a person holding a limited power of attorney from the reported owner or the owner's heirs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authorizes the person to receive the unclaimed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signed and attested by witnesses in accordance with Subsection (d-1); or</w:t>
      </w:r>
    </w:p>
    <w:p w:rsidR="003F3435" w:rsidRDefault="0032493E">
      <w:pPr>
        <w:spacing w:line="480" w:lineRule="auto"/>
        <w:ind w:firstLine="1440"/>
        <w:jc w:val="both"/>
      </w:pPr>
      <w:r>
        <w:rPr>
          <w:u w:val="single"/>
        </w:rPr>
        <w:t xml:space="preserve">(9)</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limited power of attorney described by Subsection (d)(8) must be attested by two or more credible witnesses who are at least 14 years of age and who subscribe their names to the power of attorney in their own handwriting in the presence of the reported owner or the reported owner's heirs.  The signature of each attesting witness must be notarized. </w:t>
      </w:r>
      <w:r>
        <w:rPr>
          <w:u w:val="single"/>
        </w:rPr>
        <w:t xml:space="preserve"> </w:t>
      </w:r>
      <w:r>
        <w:rPr>
          <w:u w:val="single"/>
        </w:rPr>
        <w:t xml:space="preserve">Each witness shall provide to the notary public the witness's current name, physical address, telephone number, and driver's license number and state of issuance, if 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74.501(e), Property Code, as amended by Chapters 267 (S.B. 1420) and 897 (H.B. 3598), Acts of the 86th Legislature, Regular Session, 2019, is reenacted and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or Section 551.051, Estates Code,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person holding a power of attorney from the reported owner or the owner's heirs;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t xml:space="preserve">(A)</w:t>
      </w:r>
      <w:r xml:space="preserve">
        <w:t> </w:t>
      </w:r>
      <w:r xml:space="preserve">
        <w:t> </w:t>
      </w:r>
      <w:r>
        <w:t xml:space="preserve">the corporation was revived for the purpose of making a claim under this section; and</w:t>
      </w:r>
    </w:p>
    <w:p w:rsidR="003F3435" w:rsidRDefault="0032493E">
      <w:pPr>
        <w:spacing w:line="480" w:lineRule="auto"/>
        <w:ind w:firstLine="2160"/>
        <w:jc w:val="both"/>
      </w:pPr>
      <w:r>
        <w:t xml:space="preserve">(B)</w:t>
      </w:r>
      <w:r xml:space="preserve">
        <w:t> </w:t>
      </w:r>
      <w:r xml:space="preserve">
        <w:t> </w:t>
      </w:r>
      <w:r>
        <w:t xml:space="preserve">the person submitting the claim was not an authorized representative of the corporation at the time of the corporation's forfeiture, dissolution, or termination.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