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87R8558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Vasut</w:t>
      </w:r>
      <w:r xml:space="preserve">
        <w:tab wTab="150" tlc="none" cTlc="0"/>
      </w:r>
      <w:r>
        <w:t xml:space="preserve">H.B.</w:t>
      </w:r>
      <w:r xml:space="preserve">
        <w:t> </w:t>
      </w:r>
      <w:r>
        <w:t xml:space="preserve">No.</w:t>
      </w:r>
      <w:r xml:space="preserve">
        <w:t> </w:t>
      </w:r>
      <w:r>
        <w:t xml:space="preserve">1984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duration of a special open hunting season restricted to persons under 17 years old.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61.058(a), Parks and Wildlife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may provide for special open seasons during which the taking and possession of game animals and game birds are restricted to persons under 17 years old.  </w:t>
      </w:r>
      <w:r>
        <w:rPr>
          <w:u w:val="single"/>
        </w:rPr>
        <w:t xml:space="preserve">A special open season under this section may not be shorter than seven consecutive days.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Parks and Wildlife Commission shall adopt or amend rules as necessary to comply with the changes in law made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