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Vasut,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requirements to hold a political party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161.005, Election Code, is amended by amending Subsections (a) and (c)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to be a candidate for or to serve as </w:t>
      </w:r>
      <w:r>
        <w:rPr>
          <w:u w:val="single"/>
        </w:rPr>
        <w:t xml:space="preserve">an officer</w:t>
      </w:r>
      <w:r>
        <w:t xml:space="preserve"> [</w:t>
      </w:r>
      <w:r>
        <w:rPr>
          <w:strike/>
        </w:rPr>
        <w:t xml:space="preserve">a county or precinct chair</w:t>
      </w:r>
      <w:r>
        <w:t xml:space="preserve">] of a political party,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be a qualified voter of the county;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except as provided by Subsection (c), not be a candidate for nomination or election to, or be the holder of, an elective office of the federal, state, or county government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office is a county or precinct chair of a political party, be a qualified voter of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</w:t>
      </w:r>
      <w:r>
        <w:rPr>
          <w:u w:val="single"/>
        </w:rPr>
        <w:t xml:space="preserve">, the following are officers of a political party: precinct chair, county chair, and a member, vice chair, and chair of a state executive committee of a political party.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candidate for nomination or election to, or the holder of, an elective office of the federal, state, or county government is eligible to serve as </w:t>
      </w:r>
      <w:r>
        <w:rPr>
          <w:u w:val="single"/>
        </w:rPr>
        <w:t xml:space="preserve">an officer</w:t>
      </w:r>
      <w:r>
        <w:t xml:space="preserve"> [</w:t>
      </w:r>
      <w:r>
        <w:rPr>
          <w:strike/>
        </w:rPr>
        <w:t xml:space="preserve">a county or precinct chair</w:t>
      </w:r>
      <w:r>
        <w:t xml:space="preserve">] of a political party to which Chapter 181 applies.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candidate for nomination or election to an office the term of which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