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87R4508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Vasut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requirements to hold a political party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161.005(a),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be eligible to be a candidate for or to serve as </w:t>
      </w:r>
      <w:r>
        <w:rPr>
          <w:u w:val="single"/>
        </w:rPr>
        <w:t xml:space="preserve">an officer</w:t>
      </w:r>
      <w:r>
        <w:t xml:space="preserve"> [</w:t>
      </w:r>
      <w:r>
        <w:rPr>
          <w:strike/>
        </w:rPr>
        <w:t xml:space="preserve">a county or precinct chair</w:t>
      </w:r>
      <w:r>
        <w:t xml:space="preserve">] of a political party, a person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be a qualified voter of the county;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except as provided by Subsection (c),</w:t>
      </w:r>
      <w:r>
        <w:t xml:space="preserve">] not be a candidate for nomination or election to, or be the holder of, an elective office of the federal, state, or county government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office is a county or precinct chair of a political party, be a qualified voter of the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161.005(c), Election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candidate for nomination or election to an office the term of which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