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87R11129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2001: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procedures and practices governing the appeal of a disciplinary action within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411.007(f),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discharged commissioned officer is entitled, on application to the commission, to a public hearing before the commission, who shall affirm</w:t>
      </w:r>
      <w:r>
        <w:rPr>
          <w:u w:val="single"/>
        </w:rPr>
        <w:t xml:space="preserve">, modify,</w:t>
      </w:r>
      <w:r>
        <w:t xml:space="preserve"> or set aside the discharge.</w:t>
      </w:r>
      <w:r xml:space="preserve">
        <w:t> </w:t>
      </w:r>
      <w:r xml:space="preserve">
        <w:t> </w:t>
      </w:r>
      <w:r>
        <w:t xml:space="preserve">The commission shall affirm</w:t>
      </w:r>
      <w:r>
        <w:rPr>
          <w:u w:val="single"/>
        </w:rPr>
        <w:t xml:space="preserve">, modify,</w:t>
      </w:r>
      <w:r>
        <w:t xml:space="preserve"> or set aside a discharge on the basis of the evidence presented </w:t>
      </w:r>
      <w:r>
        <w:rPr>
          <w:u w:val="single"/>
        </w:rPr>
        <w:t xml:space="preserve">to the commission</w:t>
      </w:r>
      <w:r>
        <w:t xml:space="preserve">.</w:t>
      </w:r>
      <w:r xml:space="preserve">
        <w:t> </w:t>
      </w:r>
      <w:r xml:space="preserve">
        <w:t> </w:t>
      </w:r>
      <w:r>
        <w:t xml:space="preserve">If the commission affirms the discharge, the discharged officer may seek judicial review, not later than the 90th day after the date the commission affirms the discharge, in a district court under the substantial evidence standard of review, and the officer remains suspended without pay while the case is under judicial review.  </w:t>
      </w:r>
      <w:r>
        <w:rPr>
          <w:u w:val="single"/>
        </w:rPr>
        <w:t xml:space="preserve">If the commission sets aside or modifies the discharge, including by prescribing a period of suspension or a demotion, the commission may award back pay for all or part of the period during which the commissioned officer was suspended without pay.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411.0072(b),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establish procedures and practices governing the appeal of a disciplinary action within the department.  </w:t>
      </w:r>
      <w:r>
        <w:rPr>
          <w:u w:val="single"/>
        </w:rPr>
        <w:t xml:space="preserve">The procedures and practices must allow a commissioned officer who is the subject of a disciplinary action to present testimony and evidence to the commission at a hearing on the appeal.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