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87R10042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White, Bailes, Anderson, Toth,</w:t>
      </w:r>
      <w:r xml:space="preserve">
        <w:tab wTab="150" tlc="none" cTlc="0"/>
      </w:r>
      <w:r>
        <w:t xml:space="preserve">H.B.</w:t>
      </w:r>
      <w:r xml:space="preserve">
        <w:t> </w:t>
      </w:r>
      <w:r>
        <w:t xml:space="preserve">No.</w:t>
      </w:r>
      <w:r xml:space="preserve">
        <w:t> </w:t>
      </w:r>
      <w:r>
        <w:t xml:space="preserve">2004</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liability and sanctions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burn boss is a certified and insured prescribed burn manager under Section 153.048, the burn boss is not liable for property damage, personal injury, or death caused by or resulting from smoke that occurs more than 300 feet from the burn.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153, Natural Resources Code, is amended by adding Section 153.1025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153.1025.</w:t>
      </w:r>
      <w:r>
        <w:rPr>
          <w:u w:val="single"/>
        </w:rPr>
        <w:t xml:space="preserve"> </w:t>
      </w:r>
      <w:r>
        <w:rPr>
          <w:u w:val="single"/>
        </w:rPr>
        <w:t xml:space="preserve"> </w:t>
      </w:r>
      <w:r>
        <w:rPr>
          <w:u w:val="single"/>
        </w:rPr>
        <w:t xml:space="preserve">CERTAIN DISCIPLINARY ACTION PROHIBITED.  Notwithstanding Section 153.102 or any other law, the department or another state agency may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