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87R7492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language requirements for a proposition proposing a constitutional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proposition</w:t>
      </w:r>
      <w:r>
        <w:rPr>
          <w:u w:val="single"/>
        </w:rPr>
        <w:t xml:space="preserve">, whether</w:t>
      </w:r>
      <w:r>
        <w:t xml:space="preserve"> prescribed by the </w:t>
      </w:r>
      <w:r>
        <w:rPr>
          <w:u w:val="single"/>
        </w:rPr>
        <w:t xml:space="preserve">legislature or the</w:t>
      </w:r>
      <w:r>
        <w:t xml:space="preserve"> secretary of state</w:t>
      </w:r>
      <w:r>
        <w:rPr>
          <w:u w:val="single"/>
        </w:rPr>
        <w:t xml:space="preserve">,</w:t>
      </w:r>
      <w:r>
        <w:t xml:space="preserve"> must describe the proposed amendment in </w:t>
      </w:r>
      <w:r>
        <w:rPr>
          <w:u w:val="single"/>
        </w:rPr>
        <w:t xml:space="preserve">plain language and</w:t>
      </w:r>
      <w:r>
        <w:t xml:space="preserve"> [</w:t>
      </w:r>
      <w:r>
        <w:rPr>
          <w:strike/>
        </w:rPr>
        <w:t xml:space="preserve">terms that</w:t>
      </w:r>
      <w:r>
        <w:t xml:space="preserve">] clearly express </w:t>
      </w:r>
      <w:r>
        <w:rPr>
          <w:u w:val="single"/>
        </w:rPr>
        <w:t xml:space="preserve">the effect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approving the proposition;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failing to approve the proposition;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approving the proposition and failing to approve the proposition</w:t>
      </w:r>
      <w:r>
        <w:t xml:space="preserve"> </w:t>
      </w:r>
      <w:r>
        <w:t xml:space="preserve">[</w:t>
      </w:r>
      <w:r>
        <w:rPr>
          <w:strike/>
        </w:rPr>
        <w:t xml:space="preserve">its scope and character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is ordered,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